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78E" w:rsidRPr="003A7207" w:rsidRDefault="001E378E" w:rsidP="00095580">
      <w:pPr>
        <w:spacing w:line="276" w:lineRule="auto"/>
        <w:rPr>
          <w:rFonts w:cstheme="minorHAnsi"/>
          <w:sz w:val="22"/>
          <w:szCs w:val="22"/>
          <w:lang w:val="en-GB"/>
        </w:rPr>
      </w:pPr>
      <w:bookmarkStart w:id="0" w:name="_GoBack"/>
      <w:bookmarkEnd w:id="0"/>
    </w:p>
    <w:p w:rsidR="00D16746" w:rsidRPr="005D1430" w:rsidRDefault="00D16746" w:rsidP="00095580">
      <w:pPr>
        <w:spacing w:line="276" w:lineRule="auto"/>
        <w:rPr>
          <w:rFonts w:cstheme="minorHAnsi"/>
          <w:sz w:val="22"/>
          <w:szCs w:val="22"/>
          <w:lang w:val="sr-Cyrl-RS"/>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D16746" w:rsidRPr="005D1430" w:rsidRDefault="00D16746"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D16746" w:rsidRPr="006448D2" w:rsidRDefault="001E378E" w:rsidP="00095580">
      <w:pPr>
        <w:spacing w:line="276" w:lineRule="auto"/>
        <w:jc w:val="center"/>
        <w:rPr>
          <w:rFonts w:eastAsia="Calibri" w:cstheme="minorHAnsi"/>
          <w:b/>
          <w:color w:val="323E4F" w:themeColor="text2" w:themeShade="BF"/>
          <w:sz w:val="32"/>
          <w:szCs w:val="32"/>
          <w:lang w:val="sr-Cyrl-RS"/>
        </w:rPr>
      </w:pPr>
      <w:r w:rsidRPr="006448D2">
        <w:rPr>
          <w:rFonts w:eastAsia="Calibri" w:cstheme="minorHAnsi"/>
          <w:b/>
          <w:color w:val="323E4F" w:themeColor="text2" w:themeShade="BF"/>
          <w:sz w:val="32"/>
          <w:szCs w:val="32"/>
          <w:lang w:val="sr-Cyrl-RS"/>
        </w:rPr>
        <w:t>ИЗВЈЕШТАЈ О РАДУ</w:t>
      </w:r>
      <w:r w:rsidR="00D16746" w:rsidRPr="006448D2">
        <w:rPr>
          <w:rFonts w:eastAsia="Calibri" w:cstheme="minorHAnsi"/>
          <w:b/>
          <w:color w:val="323E4F" w:themeColor="text2" w:themeShade="BF"/>
          <w:sz w:val="32"/>
          <w:szCs w:val="32"/>
          <w:lang w:val="sr-Cyrl-RS"/>
        </w:rPr>
        <w:t xml:space="preserve"> </w:t>
      </w:r>
    </w:p>
    <w:p w:rsidR="00605A04" w:rsidRPr="006448D2" w:rsidRDefault="001E378E" w:rsidP="00095580">
      <w:pPr>
        <w:spacing w:line="276" w:lineRule="auto"/>
        <w:jc w:val="center"/>
        <w:rPr>
          <w:rFonts w:eastAsia="Calibri" w:cstheme="minorHAnsi"/>
          <w:b/>
          <w:color w:val="323E4F" w:themeColor="text2" w:themeShade="BF"/>
          <w:sz w:val="32"/>
          <w:szCs w:val="32"/>
          <w:lang w:val="hr-BA"/>
        </w:rPr>
      </w:pPr>
      <w:r w:rsidRPr="006448D2">
        <w:rPr>
          <w:rFonts w:eastAsia="Calibri" w:cstheme="minorHAnsi"/>
          <w:b/>
          <w:color w:val="323E4F" w:themeColor="text2" w:themeShade="BF"/>
          <w:sz w:val="32"/>
          <w:szCs w:val="32"/>
          <w:lang w:val="hr-BA"/>
        </w:rPr>
        <w:t xml:space="preserve">АГЕНЦИЈЕ ЗА </w:t>
      </w:r>
      <w:r w:rsidRPr="006448D2">
        <w:rPr>
          <w:rFonts w:eastAsia="Calibri" w:cstheme="minorHAnsi"/>
          <w:b/>
          <w:color w:val="323E4F" w:themeColor="text2" w:themeShade="BF"/>
          <w:sz w:val="32"/>
          <w:szCs w:val="32"/>
          <w:lang w:val="sr-Cyrl-BA"/>
        </w:rPr>
        <w:t>ВИСОКО ОБРАЗОВАЊЕ</w:t>
      </w:r>
      <w:r w:rsidRPr="006448D2">
        <w:rPr>
          <w:rFonts w:eastAsia="Calibri" w:cstheme="minorHAnsi"/>
          <w:b/>
          <w:color w:val="323E4F" w:themeColor="text2" w:themeShade="BF"/>
          <w:sz w:val="32"/>
          <w:szCs w:val="32"/>
          <w:lang w:val="hr-BA"/>
        </w:rPr>
        <w:t xml:space="preserve"> РЕПУБЛИКЕ СРПСКЕ </w:t>
      </w:r>
    </w:p>
    <w:p w:rsidR="001E378E" w:rsidRPr="006448D2" w:rsidRDefault="001E378E" w:rsidP="00095580">
      <w:pPr>
        <w:spacing w:line="276" w:lineRule="auto"/>
        <w:jc w:val="center"/>
        <w:rPr>
          <w:rFonts w:eastAsia="Calibri" w:cstheme="minorHAnsi"/>
          <w:b/>
          <w:color w:val="323E4F" w:themeColor="text2" w:themeShade="BF"/>
          <w:sz w:val="32"/>
          <w:szCs w:val="32"/>
          <w:lang w:val="sr-Cyrl-RS"/>
        </w:rPr>
      </w:pPr>
      <w:r w:rsidRPr="006448D2">
        <w:rPr>
          <w:rFonts w:eastAsia="Calibri" w:cstheme="minorHAnsi"/>
          <w:b/>
          <w:color w:val="323E4F" w:themeColor="text2" w:themeShade="BF"/>
          <w:sz w:val="32"/>
          <w:szCs w:val="32"/>
          <w:lang w:val="hr-BA"/>
        </w:rPr>
        <w:t>ЗА 202</w:t>
      </w:r>
      <w:r w:rsidR="00E27DEB">
        <w:rPr>
          <w:rFonts w:eastAsia="Calibri" w:cstheme="minorHAnsi"/>
          <w:b/>
          <w:color w:val="323E4F" w:themeColor="text2" w:themeShade="BF"/>
          <w:sz w:val="32"/>
          <w:szCs w:val="32"/>
          <w:lang w:val="sr-Cyrl-RS"/>
        </w:rPr>
        <w:t>4</w:t>
      </w:r>
      <w:r w:rsidRPr="006448D2">
        <w:rPr>
          <w:rFonts w:eastAsia="Calibri" w:cstheme="minorHAnsi"/>
          <w:b/>
          <w:color w:val="323E4F" w:themeColor="text2" w:themeShade="BF"/>
          <w:sz w:val="32"/>
          <w:szCs w:val="32"/>
          <w:lang w:val="hr-BA"/>
        </w:rPr>
        <w:t>. ГОДИНУ</w:t>
      </w:r>
    </w:p>
    <w:p w:rsidR="001E378E" w:rsidRPr="006448D2" w:rsidRDefault="001E378E" w:rsidP="00095580">
      <w:pPr>
        <w:spacing w:after="160" w:line="276" w:lineRule="auto"/>
        <w:jc w:val="center"/>
        <w:rPr>
          <w:rFonts w:eastAsia="Calibri" w:cstheme="minorHAnsi"/>
          <w:color w:val="323E4F" w:themeColor="text2" w:themeShade="BF"/>
          <w:sz w:val="32"/>
          <w:szCs w:val="3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1E378E" w:rsidRPr="005D1430" w:rsidRDefault="001E378E" w:rsidP="00095580">
      <w:pPr>
        <w:spacing w:after="160" w:line="276" w:lineRule="auto"/>
        <w:rPr>
          <w:rFonts w:eastAsia="Calibri" w:cstheme="minorHAnsi"/>
          <w:sz w:val="22"/>
          <w:szCs w:val="22"/>
          <w:lang w:val="hr-BA"/>
        </w:rPr>
      </w:pPr>
    </w:p>
    <w:p w:rsidR="00567B46" w:rsidRDefault="001E378E" w:rsidP="0064204A">
      <w:pPr>
        <w:spacing w:after="160" w:line="276" w:lineRule="auto"/>
        <w:jc w:val="center"/>
        <w:rPr>
          <w:rFonts w:eastAsia="Calibri" w:cstheme="minorHAnsi"/>
          <w:sz w:val="22"/>
          <w:szCs w:val="22"/>
          <w:lang w:val="hr-BA"/>
        </w:rPr>
      </w:pPr>
      <w:r w:rsidRPr="005D1430">
        <w:rPr>
          <w:rFonts w:eastAsia="Calibri" w:cstheme="minorHAnsi"/>
          <w:sz w:val="22"/>
          <w:szCs w:val="22"/>
          <w:lang w:val="hr-BA"/>
        </w:rPr>
        <w:t xml:space="preserve">Бања Лука, </w:t>
      </w:r>
      <w:r w:rsidR="0024240A">
        <w:rPr>
          <w:rFonts w:eastAsia="Calibri" w:cstheme="minorHAnsi"/>
          <w:sz w:val="22"/>
          <w:szCs w:val="22"/>
          <w:lang w:val="sr-Cyrl-RS"/>
        </w:rPr>
        <w:t>ф</w:t>
      </w:r>
      <w:r w:rsidR="00ED0E2D">
        <w:rPr>
          <w:rFonts w:eastAsia="Calibri" w:cstheme="minorHAnsi"/>
          <w:sz w:val="22"/>
          <w:szCs w:val="22"/>
          <w:lang w:val="sr-Cyrl-RS"/>
        </w:rPr>
        <w:t>ебруар</w:t>
      </w:r>
      <w:r w:rsidRPr="005D1430">
        <w:rPr>
          <w:rFonts w:eastAsia="Calibri" w:cstheme="minorHAnsi"/>
          <w:sz w:val="22"/>
          <w:szCs w:val="22"/>
          <w:lang w:val="hr-BA"/>
        </w:rPr>
        <w:t xml:space="preserve"> 20</w:t>
      </w:r>
      <w:r w:rsidRPr="005D1430">
        <w:rPr>
          <w:rFonts w:eastAsia="Calibri" w:cstheme="minorHAnsi"/>
          <w:sz w:val="22"/>
          <w:szCs w:val="22"/>
          <w:lang w:val="sr-Cyrl-RS"/>
        </w:rPr>
        <w:t>2</w:t>
      </w:r>
      <w:r w:rsidR="00E27DEB">
        <w:rPr>
          <w:rFonts w:eastAsia="Calibri" w:cstheme="minorHAnsi"/>
          <w:sz w:val="22"/>
          <w:szCs w:val="22"/>
          <w:lang w:val="sr-Cyrl-BA"/>
        </w:rPr>
        <w:t>5</w:t>
      </w:r>
      <w:r w:rsidRPr="005D1430">
        <w:rPr>
          <w:rFonts w:eastAsia="Calibri" w:cstheme="minorHAnsi"/>
          <w:sz w:val="22"/>
          <w:szCs w:val="22"/>
          <w:lang w:val="hr-BA"/>
        </w:rPr>
        <w:t>. године</w:t>
      </w:r>
    </w:p>
    <w:p w:rsidR="00F007E9" w:rsidRDefault="00F007E9" w:rsidP="0064204A">
      <w:pPr>
        <w:spacing w:after="160" w:line="276" w:lineRule="auto"/>
        <w:jc w:val="center"/>
        <w:rPr>
          <w:rFonts w:eastAsia="Calibri" w:cstheme="minorHAnsi"/>
          <w:sz w:val="22"/>
          <w:szCs w:val="22"/>
          <w:lang w:val="hr-BA"/>
        </w:rPr>
      </w:pPr>
    </w:p>
    <w:p w:rsidR="00276321" w:rsidRDefault="00276321" w:rsidP="0064204A">
      <w:pPr>
        <w:spacing w:after="160" w:line="276" w:lineRule="auto"/>
        <w:jc w:val="center"/>
        <w:rPr>
          <w:rFonts w:eastAsia="Calibri" w:cstheme="minorHAnsi"/>
          <w:b/>
          <w:color w:val="323E4F" w:themeColor="text2" w:themeShade="BF"/>
          <w:sz w:val="28"/>
          <w:szCs w:val="28"/>
          <w:lang w:val="sr-Cyrl-RS"/>
        </w:rPr>
      </w:pPr>
    </w:p>
    <w:p w:rsidR="00276321" w:rsidRDefault="00276321" w:rsidP="0064204A">
      <w:pPr>
        <w:spacing w:after="160" w:line="276" w:lineRule="auto"/>
        <w:jc w:val="center"/>
        <w:rPr>
          <w:rFonts w:eastAsia="Calibri" w:cstheme="minorHAnsi"/>
          <w:b/>
          <w:color w:val="323E4F" w:themeColor="text2" w:themeShade="BF"/>
          <w:sz w:val="28"/>
          <w:szCs w:val="28"/>
          <w:lang w:val="sr-Cyrl-RS"/>
        </w:rPr>
      </w:pPr>
    </w:p>
    <w:p w:rsidR="00F007E9" w:rsidRPr="00836E6D" w:rsidRDefault="00F007E9" w:rsidP="0064204A">
      <w:pPr>
        <w:spacing w:after="160" w:line="276" w:lineRule="auto"/>
        <w:jc w:val="center"/>
        <w:rPr>
          <w:rFonts w:eastAsia="Calibri" w:cstheme="minorHAnsi"/>
          <w:b/>
          <w:color w:val="1F3864" w:themeColor="accent1" w:themeShade="80"/>
          <w:sz w:val="32"/>
          <w:szCs w:val="32"/>
          <w:lang w:val="sr-Cyrl-RS"/>
        </w:rPr>
      </w:pPr>
      <w:r w:rsidRPr="00836E6D">
        <w:rPr>
          <w:rFonts w:eastAsia="Calibri" w:cstheme="minorHAnsi"/>
          <w:b/>
          <w:color w:val="1F3864" w:themeColor="accent1" w:themeShade="80"/>
          <w:sz w:val="32"/>
          <w:szCs w:val="32"/>
          <w:lang w:val="sr-Cyrl-RS"/>
        </w:rPr>
        <w:t>САДРЖАЈ</w:t>
      </w:r>
    </w:p>
    <w:p w:rsidR="00836E6D" w:rsidRPr="00836E6D" w:rsidRDefault="00F007E9">
      <w:pPr>
        <w:pStyle w:val="TOC1"/>
        <w:tabs>
          <w:tab w:val="left" w:pos="480"/>
          <w:tab w:val="right" w:leader="dot" w:pos="9010"/>
        </w:tabs>
        <w:rPr>
          <w:rFonts w:eastAsiaTheme="minorEastAsia"/>
          <w:b w:val="0"/>
          <w:bCs w:val="0"/>
          <w:i w:val="0"/>
          <w:iCs w:val="0"/>
          <w:noProof/>
          <w:color w:val="1F3864" w:themeColor="accent1" w:themeShade="80"/>
          <w:sz w:val="22"/>
          <w:szCs w:val="22"/>
          <w:lang w:val="en-GB" w:eastAsia="en-GB"/>
        </w:rPr>
      </w:pPr>
      <w:r w:rsidRPr="00836E6D">
        <w:rPr>
          <w:rFonts w:eastAsia="Calibri" w:cstheme="minorHAnsi"/>
          <w:color w:val="1F3864" w:themeColor="accent1" w:themeShade="80"/>
          <w:sz w:val="22"/>
          <w:szCs w:val="22"/>
          <w:lang w:val="hr-BA"/>
        </w:rPr>
        <w:fldChar w:fldCharType="begin"/>
      </w:r>
      <w:r w:rsidRPr="00836E6D">
        <w:rPr>
          <w:rFonts w:eastAsia="Calibri" w:cstheme="minorHAnsi"/>
          <w:color w:val="1F3864" w:themeColor="accent1" w:themeShade="80"/>
          <w:sz w:val="22"/>
          <w:szCs w:val="22"/>
          <w:lang w:val="hr-BA"/>
        </w:rPr>
        <w:instrText xml:space="preserve"> TOC \o "1-2" \h \z \u </w:instrText>
      </w:r>
      <w:r w:rsidRPr="00836E6D">
        <w:rPr>
          <w:rFonts w:eastAsia="Calibri" w:cstheme="minorHAnsi"/>
          <w:color w:val="1F3864" w:themeColor="accent1" w:themeShade="80"/>
          <w:sz w:val="22"/>
          <w:szCs w:val="22"/>
          <w:lang w:val="hr-BA"/>
        </w:rPr>
        <w:fldChar w:fldCharType="separate"/>
      </w:r>
      <w:hyperlink w:anchor="_Toc190682504" w:history="1">
        <w:r w:rsidR="00836E6D" w:rsidRPr="00836E6D">
          <w:rPr>
            <w:rStyle w:val="Hyperlink"/>
            <w:rFonts w:cstheme="minorHAnsi"/>
            <w:noProof/>
            <w:color w:val="1F3864" w:themeColor="accent1" w:themeShade="80"/>
          </w:rPr>
          <w:t>I</w:t>
        </w:r>
        <w:r w:rsidR="00836E6D" w:rsidRPr="00836E6D">
          <w:rPr>
            <w:rFonts w:eastAsiaTheme="minorEastAsia"/>
            <w:b w:val="0"/>
            <w:bCs w:val="0"/>
            <w:i w:val="0"/>
            <w:iCs w:val="0"/>
            <w:noProof/>
            <w:color w:val="1F3864" w:themeColor="accent1" w:themeShade="80"/>
            <w:sz w:val="22"/>
            <w:szCs w:val="22"/>
            <w:lang w:val="en-GB" w:eastAsia="en-GB"/>
          </w:rPr>
          <w:tab/>
        </w:r>
        <w:r w:rsidR="00836E6D" w:rsidRPr="00836E6D">
          <w:rPr>
            <w:rStyle w:val="Hyperlink"/>
            <w:rFonts w:cstheme="minorHAnsi"/>
            <w:noProof/>
            <w:color w:val="1F3864" w:themeColor="accent1" w:themeShade="80"/>
          </w:rPr>
          <w:t>УВОД</w:t>
        </w:r>
        <w:r w:rsidR="00836E6D" w:rsidRPr="00836E6D">
          <w:rPr>
            <w:noProof/>
            <w:webHidden/>
            <w:color w:val="1F3864" w:themeColor="accent1" w:themeShade="80"/>
          </w:rPr>
          <w:tab/>
        </w:r>
        <w:r w:rsidR="00836E6D" w:rsidRPr="00836E6D">
          <w:rPr>
            <w:noProof/>
            <w:webHidden/>
            <w:color w:val="1F3864" w:themeColor="accent1" w:themeShade="80"/>
          </w:rPr>
          <w:fldChar w:fldCharType="begin"/>
        </w:r>
        <w:r w:rsidR="00836E6D" w:rsidRPr="00836E6D">
          <w:rPr>
            <w:noProof/>
            <w:webHidden/>
            <w:color w:val="1F3864" w:themeColor="accent1" w:themeShade="80"/>
          </w:rPr>
          <w:instrText xml:space="preserve"> PAGEREF _Toc190682504 \h </w:instrText>
        </w:r>
        <w:r w:rsidR="00836E6D" w:rsidRPr="00836E6D">
          <w:rPr>
            <w:noProof/>
            <w:webHidden/>
            <w:color w:val="1F3864" w:themeColor="accent1" w:themeShade="80"/>
          </w:rPr>
        </w:r>
        <w:r w:rsidR="00836E6D" w:rsidRPr="00836E6D">
          <w:rPr>
            <w:noProof/>
            <w:webHidden/>
            <w:color w:val="1F3864" w:themeColor="accent1" w:themeShade="80"/>
          </w:rPr>
          <w:fldChar w:fldCharType="separate"/>
        </w:r>
        <w:r w:rsidR="001D56A0">
          <w:rPr>
            <w:noProof/>
            <w:webHidden/>
            <w:color w:val="1F3864" w:themeColor="accent1" w:themeShade="80"/>
          </w:rPr>
          <w:t>3</w:t>
        </w:r>
        <w:r w:rsidR="00836E6D" w:rsidRPr="00836E6D">
          <w:rPr>
            <w:noProof/>
            <w:webHidden/>
            <w:color w:val="1F3864" w:themeColor="accent1" w:themeShade="80"/>
          </w:rPr>
          <w:fldChar w:fldCharType="end"/>
        </w:r>
      </w:hyperlink>
    </w:p>
    <w:p w:rsidR="00836E6D" w:rsidRPr="00836E6D" w:rsidRDefault="0083677E">
      <w:pPr>
        <w:pStyle w:val="TOC1"/>
        <w:tabs>
          <w:tab w:val="left" w:pos="480"/>
          <w:tab w:val="right" w:leader="dot" w:pos="9010"/>
        </w:tabs>
        <w:rPr>
          <w:rFonts w:eastAsiaTheme="minorEastAsia"/>
          <w:b w:val="0"/>
          <w:bCs w:val="0"/>
          <w:i w:val="0"/>
          <w:iCs w:val="0"/>
          <w:noProof/>
          <w:color w:val="1F3864" w:themeColor="accent1" w:themeShade="80"/>
          <w:sz w:val="22"/>
          <w:szCs w:val="22"/>
          <w:lang w:val="en-GB" w:eastAsia="en-GB"/>
        </w:rPr>
      </w:pPr>
      <w:hyperlink w:anchor="_Toc190682505" w:history="1">
        <w:r w:rsidR="00836E6D" w:rsidRPr="00836E6D">
          <w:rPr>
            <w:rStyle w:val="Hyperlink"/>
            <w:rFonts w:cstheme="minorHAnsi"/>
            <w:noProof/>
            <w:color w:val="1F3864" w:themeColor="accent1" w:themeShade="80"/>
          </w:rPr>
          <w:t>II</w:t>
        </w:r>
        <w:r w:rsidR="00836E6D" w:rsidRPr="00836E6D">
          <w:rPr>
            <w:rFonts w:eastAsiaTheme="minorEastAsia"/>
            <w:b w:val="0"/>
            <w:bCs w:val="0"/>
            <w:i w:val="0"/>
            <w:iCs w:val="0"/>
            <w:noProof/>
            <w:color w:val="1F3864" w:themeColor="accent1" w:themeShade="80"/>
            <w:sz w:val="22"/>
            <w:szCs w:val="22"/>
            <w:lang w:val="en-GB" w:eastAsia="en-GB"/>
          </w:rPr>
          <w:tab/>
        </w:r>
        <w:r w:rsidR="00836E6D" w:rsidRPr="00836E6D">
          <w:rPr>
            <w:rStyle w:val="Hyperlink"/>
            <w:rFonts w:cstheme="minorHAnsi"/>
            <w:noProof/>
            <w:color w:val="1F3864" w:themeColor="accent1" w:themeShade="80"/>
          </w:rPr>
          <w:t>ЗАКОНОДАВНИ ДИО</w:t>
        </w:r>
        <w:r w:rsidR="00836E6D" w:rsidRPr="00836E6D">
          <w:rPr>
            <w:noProof/>
            <w:webHidden/>
            <w:color w:val="1F3864" w:themeColor="accent1" w:themeShade="80"/>
          </w:rPr>
          <w:tab/>
        </w:r>
        <w:r w:rsidR="00836E6D" w:rsidRPr="00836E6D">
          <w:rPr>
            <w:noProof/>
            <w:webHidden/>
            <w:color w:val="1F3864" w:themeColor="accent1" w:themeShade="80"/>
          </w:rPr>
          <w:fldChar w:fldCharType="begin"/>
        </w:r>
        <w:r w:rsidR="00836E6D" w:rsidRPr="00836E6D">
          <w:rPr>
            <w:noProof/>
            <w:webHidden/>
            <w:color w:val="1F3864" w:themeColor="accent1" w:themeShade="80"/>
          </w:rPr>
          <w:instrText xml:space="preserve"> PAGEREF _Toc190682505 \h </w:instrText>
        </w:r>
        <w:r w:rsidR="00836E6D" w:rsidRPr="00836E6D">
          <w:rPr>
            <w:noProof/>
            <w:webHidden/>
            <w:color w:val="1F3864" w:themeColor="accent1" w:themeShade="80"/>
          </w:rPr>
        </w:r>
        <w:r w:rsidR="00836E6D" w:rsidRPr="00836E6D">
          <w:rPr>
            <w:noProof/>
            <w:webHidden/>
            <w:color w:val="1F3864" w:themeColor="accent1" w:themeShade="80"/>
          </w:rPr>
          <w:fldChar w:fldCharType="separate"/>
        </w:r>
        <w:r w:rsidR="001D56A0">
          <w:rPr>
            <w:noProof/>
            <w:webHidden/>
            <w:color w:val="1F3864" w:themeColor="accent1" w:themeShade="80"/>
          </w:rPr>
          <w:t>4</w:t>
        </w:r>
        <w:r w:rsidR="00836E6D" w:rsidRPr="00836E6D">
          <w:rPr>
            <w:noProof/>
            <w:webHidden/>
            <w:color w:val="1F3864" w:themeColor="accent1" w:themeShade="80"/>
          </w:rPr>
          <w:fldChar w:fldCharType="end"/>
        </w:r>
      </w:hyperlink>
    </w:p>
    <w:p w:rsidR="00836E6D" w:rsidRPr="00836E6D" w:rsidRDefault="0083677E">
      <w:pPr>
        <w:pStyle w:val="TOC1"/>
        <w:tabs>
          <w:tab w:val="left" w:pos="480"/>
          <w:tab w:val="right" w:leader="dot" w:pos="9010"/>
        </w:tabs>
        <w:rPr>
          <w:rFonts w:eastAsiaTheme="minorEastAsia"/>
          <w:b w:val="0"/>
          <w:bCs w:val="0"/>
          <w:i w:val="0"/>
          <w:iCs w:val="0"/>
          <w:noProof/>
          <w:color w:val="1F3864" w:themeColor="accent1" w:themeShade="80"/>
          <w:sz w:val="22"/>
          <w:szCs w:val="22"/>
          <w:lang w:val="en-GB" w:eastAsia="en-GB"/>
        </w:rPr>
      </w:pPr>
      <w:hyperlink w:anchor="_Toc190682506" w:history="1">
        <w:r w:rsidR="00836E6D" w:rsidRPr="00836E6D">
          <w:rPr>
            <w:rStyle w:val="Hyperlink"/>
            <w:rFonts w:cstheme="minorHAnsi"/>
            <w:noProof/>
            <w:color w:val="1F3864" w:themeColor="accent1" w:themeShade="80"/>
          </w:rPr>
          <w:t>III</w:t>
        </w:r>
        <w:r w:rsidR="00836E6D" w:rsidRPr="00836E6D">
          <w:rPr>
            <w:rFonts w:eastAsiaTheme="minorEastAsia"/>
            <w:b w:val="0"/>
            <w:bCs w:val="0"/>
            <w:i w:val="0"/>
            <w:iCs w:val="0"/>
            <w:noProof/>
            <w:color w:val="1F3864" w:themeColor="accent1" w:themeShade="80"/>
            <w:sz w:val="22"/>
            <w:szCs w:val="22"/>
            <w:lang w:val="en-GB" w:eastAsia="en-GB"/>
          </w:rPr>
          <w:tab/>
        </w:r>
        <w:r w:rsidR="00836E6D" w:rsidRPr="00836E6D">
          <w:rPr>
            <w:rStyle w:val="Hyperlink"/>
            <w:rFonts w:cstheme="minorHAnsi"/>
            <w:noProof/>
            <w:color w:val="1F3864" w:themeColor="accent1" w:themeShade="80"/>
          </w:rPr>
          <w:t>ТЕМАТСКИ ДИО</w:t>
        </w:r>
        <w:r w:rsidR="00836E6D" w:rsidRPr="00836E6D">
          <w:rPr>
            <w:noProof/>
            <w:webHidden/>
            <w:color w:val="1F3864" w:themeColor="accent1" w:themeShade="80"/>
          </w:rPr>
          <w:tab/>
        </w:r>
        <w:r w:rsidR="00836E6D" w:rsidRPr="00836E6D">
          <w:rPr>
            <w:noProof/>
            <w:webHidden/>
            <w:color w:val="1F3864" w:themeColor="accent1" w:themeShade="80"/>
          </w:rPr>
          <w:fldChar w:fldCharType="begin"/>
        </w:r>
        <w:r w:rsidR="00836E6D" w:rsidRPr="00836E6D">
          <w:rPr>
            <w:noProof/>
            <w:webHidden/>
            <w:color w:val="1F3864" w:themeColor="accent1" w:themeShade="80"/>
          </w:rPr>
          <w:instrText xml:space="preserve"> PAGEREF _Toc190682506 \h </w:instrText>
        </w:r>
        <w:r w:rsidR="00836E6D" w:rsidRPr="00836E6D">
          <w:rPr>
            <w:noProof/>
            <w:webHidden/>
            <w:color w:val="1F3864" w:themeColor="accent1" w:themeShade="80"/>
          </w:rPr>
        </w:r>
        <w:r w:rsidR="00836E6D" w:rsidRPr="00836E6D">
          <w:rPr>
            <w:noProof/>
            <w:webHidden/>
            <w:color w:val="1F3864" w:themeColor="accent1" w:themeShade="80"/>
          </w:rPr>
          <w:fldChar w:fldCharType="separate"/>
        </w:r>
        <w:r w:rsidR="001D56A0">
          <w:rPr>
            <w:noProof/>
            <w:webHidden/>
            <w:color w:val="1F3864" w:themeColor="accent1" w:themeShade="80"/>
          </w:rPr>
          <w:t>5</w:t>
        </w:r>
        <w:r w:rsidR="00836E6D" w:rsidRPr="00836E6D">
          <w:rPr>
            <w:noProof/>
            <w:webHidden/>
            <w:color w:val="1F3864" w:themeColor="accent1" w:themeShade="80"/>
          </w:rPr>
          <w:fldChar w:fldCharType="end"/>
        </w:r>
      </w:hyperlink>
    </w:p>
    <w:p w:rsidR="00836E6D" w:rsidRPr="00836E6D" w:rsidRDefault="0083677E">
      <w:pPr>
        <w:pStyle w:val="TOC2"/>
        <w:tabs>
          <w:tab w:val="left" w:pos="960"/>
          <w:tab w:val="right" w:leader="dot" w:pos="9010"/>
        </w:tabs>
        <w:rPr>
          <w:rFonts w:eastAsiaTheme="minorEastAsia"/>
          <w:b w:val="0"/>
          <w:bCs w:val="0"/>
          <w:noProof/>
          <w:color w:val="1F3864" w:themeColor="accent1" w:themeShade="80"/>
          <w:lang w:val="en-GB" w:eastAsia="en-GB"/>
        </w:rPr>
      </w:pPr>
      <w:hyperlink w:anchor="_Toc190682507" w:history="1">
        <w:r w:rsidR="00836E6D" w:rsidRPr="00836E6D">
          <w:rPr>
            <w:rStyle w:val="Hyperlink"/>
            <w:rFonts w:cstheme="minorHAnsi"/>
            <w:noProof/>
            <w:color w:val="1F3864" w:themeColor="accent1" w:themeShade="80"/>
          </w:rPr>
          <w:t>3.1.</w:t>
        </w:r>
        <w:r w:rsidR="00836E6D" w:rsidRPr="00836E6D">
          <w:rPr>
            <w:rFonts w:eastAsiaTheme="minorEastAsia"/>
            <w:b w:val="0"/>
            <w:bCs w:val="0"/>
            <w:noProof/>
            <w:color w:val="1F3864" w:themeColor="accent1" w:themeShade="80"/>
            <w:lang w:val="en-GB" w:eastAsia="en-GB"/>
          </w:rPr>
          <w:tab/>
        </w:r>
        <w:r w:rsidR="00836E6D" w:rsidRPr="00836E6D">
          <w:rPr>
            <w:rStyle w:val="Hyperlink"/>
            <w:rFonts w:cstheme="minorHAnsi"/>
            <w:noProof/>
            <w:color w:val="1F3864" w:themeColor="accent1" w:themeShade="80"/>
          </w:rPr>
          <w:t>АКРЕДИТАЦИЈА УСТАНОВА И СТУДИЈСКИХ ПРОГРАМА</w:t>
        </w:r>
        <w:r w:rsidR="00836E6D" w:rsidRPr="00836E6D">
          <w:rPr>
            <w:noProof/>
            <w:webHidden/>
            <w:color w:val="1F3864" w:themeColor="accent1" w:themeShade="80"/>
          </w:rPr>
          <w:tab/>
        </w:r>
        <w:r w:rsidR="00836E6D" w:rsidRPr="00836E6D">
          <w:rPr>
            <w:noProof/>
            <w:webHidden/>
            <w:color w:val="1F3864" w:themeColor="accent1" w:themeShade="80"/>
          </w:rPr>
          <w:fldChar w:fldCharType="begin"/>
        </w:r>
        <w:r w:rsidR="00836E6D" w:rsidRPr="00836E6D">
          <w:rPr>
            <w:noProof/>
            <w:webHidden/>
            <w:color w:val="1F3864" w:themeColor="accent1" w:themeShade="80"/>
          </w:rPr>
          <w:instrText xml:space="preserve"> PAGEREF _Toc190682507 \h </w:instrText>
        </w:r>
        <w:r w:rsidR="00836E6D" w:rsidRPr="00836E6D">
          <w:rPr>
            <w:noProof/>
            <w:webHidden/>
            <w:color w:val="1F3864" w:themeColor="accent1" w:themeShade="80"/>
          </w:rPr>
        </w:r>
        <w:r w:rsidR="00836E6D" w:rsidRPr="00836E6D">
          <w:rPr>
            <w:noProof/>
            <w:webHidden/>
            <w:color w:val="1F3864" w:themeColor="accent1" w:themeShade="80"/>
          </w:rPr>
          <w:fldChar w:fldCharType="separate"/>
        </w:r>
        <w:r w:rsidR="001D56A0">
          <w:rPr>
            <w:noProof/>
            <w:webHidden/>
            <w:color w:val="1F3864" w:themeColor="accent1" w:themeShade="80"/>
          </w:rPr>
          <w:t>5</w:t>
        </w:r>
        <w:r w:rsidR="00836E6D" w:rsidRPr="00836E6D">
          <w:rPr>
            <w:noProof/>
            <w:webHidden/>
            <w:color w:val="1F3864" w:themeColor="accent1" w:themeShade="80"/>
          </w:rPr>
          <w:fldChar w:fldCharType="end"/>
        </w:r>
      </w:hyperlink>
    </w:p>
    <w:p w:rsidR="00836E6D" w:rsidRPr="00836E6D" w:rsidRDefault="0083677E">
      <w:pPr>
        <w:pStyle w:val="TOC2"/>
        <w:tabs>
          <w:tab w:val="left" w:pos="960"/>
          <w:tab w:val="right" w:leader="dot" w:pos="9010"/>
        </w:tabs>
        <w:rPr>
          <w:rFonts w:eastAsiaTheme="minorEastAsia"/>
          <w:b w:val="0"/>
          <w:bCs w:val="0"/>
          <w:noProof/>
          <w:color w:val="1F3864" w:themeColor="accent1" w:themeShade="80"/>
          <w:lang w:val="en-GB" w:eastAsia="en-GB"/>
        </w:rPr>
      </w:pPr>
      <w:hyperlink w:anchor="_Toc190682508" w:history="1">
        <w:r w:rsidR="00836E6D" w:rsidRPr="00836E6D">
          <w:rPr>
            <w:rStyle w:val="Hyperlink"/>
            <w:rFonts w:cstheme="minorHAnsi"/>
            <w:noProof/>
            <w:color w:val="1F3864" w:themeColor="accent1" w:themeShade="80"/>
          </w:rPr>
          <w:t>3.2.</w:t>
        </w:r>
        <w:r w:rsidR="00836E6D" w:rsidRPr="00836E6D">
          <w:rPr>
            <w:rFonts w:eastAsiaTheme="minorEastAsia"/>
            <w:b w:val="0"/>
            <w:bCs w:val="0"/>
            <w:noProof/>
            <w:color w:val="1F3864" w:themeColor="accent1" w:themeShade="80"/>
            <w:lang w:val="en-GB" w:eastAsia="en-GB"/>
          </w:rPr>
          <w:tab/>
        </w:r>
        <w:r w:rsidR="00836E6D" w:rsidRPr="00836E6D">
          <w:rPr>
            <w:rStyle w:val="Hyperlink"/>
            <w:rFonts w:cstheme="minorHAnsi"/>
            <w:noProof/>
            <w:color w:val="1F3864" w:themeColor="accent1" w:themeShade="80"/>
          </w:rPr>
          <w:t>ПОСТУПЦИ ВАЊСКОГ ВРЕДНОВАЊА У СВРХУ ПОЧЕТНЕ АКРЕДИТАЦИЈЕ</w:t>
        </w:r>
        <w:r w:rsidR="00836E6D" w:rsidRPr="00836E6D">
          <w:rPr>
            <w:noProof/>
            <w:webHidden/>
            <w:color w:val="1F3864" w:themeColor="accent1" w:themeShade="80"/>
          </w:rPr>
          <w:tab/>
        </w:r>
        <w:r w:rsidR="00836E6D" w:rsidRPr="00836E6D">
          <w:rPr>
            <w:noProof/>
            <w:webHidden/>
            <w:color w:val="1F3864" w:themeColor="accent1" w:themeShade="80"/>
          </w:rPr>
          <w:fldChar w:fldCharType="begin"/>
        </w:r>
        <w:r w:rsidR="00836E6D" w:rsidRPr="00836E6D">
          <w:rPr>
            <w:noProof/>
            <w:webHidden/>
            <w:color w:val="1F3864" w:themeColor="accent1" w:themeShade="80"/>
          </w:rPr>
          <w:instrText xml:space="preserve"> PAGEREF _Toc190682508 \h </w:instrText>
        </w:r>
        <w:r w:rsidR="00836E6D" w:rsidRPr="00836E6D">
          <w:rPr>
            <w:noProof/>
            <w:webHidden/>
            <w:color w:val="1F3864" w:themeColor="accent1" w:themeShade="80"/>
          </w:rPr>
        </w:r>
        <w:r w:rsidR="00836E6D" w:rsidRPr="00836E6D">
          <w:rPr>
            <w:noProof/>
            <w:webHidden/>
            <w:color w:val="1F3864" w:themeColor="accent1" w:themeShade="80"/>
          </w:rPr>
          <w:fldChar w:fldCharType="separate"/>
        </w:r>
        <w:r w:rsidR="001D56A0">
          <w:rPr>
            <w:noProof/>
            <w:webHidden/>
            <w:color w:val="1F3864" w:themeColor="accent1" w:themeShade="80"/>
          </w:rPr>
          <w:t>13</w:t>
        </w:r>
        <w:r w:rsidR="00836E6D" w:rsidRPr="00836E6D">
          <w:rPr>
            <w:noProof/>
            <w:webHidden/>
            <w:color w:val="1F3864" w:themeColor="accent1" w:themeShade="80"/>
          </w:rPr>
          <w:fldChar w:fldCharType="end"/>
        </w:r>
      </w:hyperlink>
    </w:p>
    <w:p w:rsidR="00836E6D" w:rsidRPr="006A1128" w:rsidRDefault="0083677E">
      <w:pPr>
        <w:pStyle w:val="TOC2"/>
        <w:tabs>
          <w:tab w:val="left" w:pos="960"/>
          <w:tab w:val="right" w:leader="dot" w:pos="9010"/>
        </w:tabs>
        <w:rPr>
          <w:rFonts w:eastAsiaTheme="minorEastAsia"/>
          <w:b w:val="0"/>
          <w:bCs w:val="0"/>
          <w:noProof/>
          <w:color w:val="1F3864" w:themeColor="accent1" w:themeShade="80"/>
          <w:lang w:val="sr-Cyrl-RS" w:eastAsia="en-GB"/>
        </w:rPr>
      </w:pPr>
      <w:hyperlink w:anchor="_Toc190682509" w:history="1">
        <w:r w:rsidR="00836E6D" w:rsidRPr="00836E6D">
          <w:rPr>
            <w:rStyle w:val="Hyperlink"/>
            <w:rFonts w:cstheme="minorHAnsi"/>
            <w:noProof/>
            <w:color w:val="1F3864" w:themeColor="accent1" w:themeShade="80"/>
          </w:rPr>
          <w:t>3.3.</w:t>
        </w:r>
        <w:r w:rsidR="00836E6D" w:rsidRPr="00836E6D">
          <w:rPr>
            <w:rFonts w:eastAsiaTheme="minorEastAsia"/>
            <w:b w:val="0"/>
            <w:bCs w:val="0"/>
            <w:noProof/>
            <w:color w:val="1F3864" w:themeColor="accent1" w:themeShade="80"/>
            <w:lang w:val="en-GB" w:eastAsia="en-GB"/>
          </w:rPr>
          <w:tab/>
        </w:r>
        <w:r w:rsidR="00836E6D" w:rsidRPr="00836E6D">
          <w:rPr>
            <w:rStyle w:val="Hyperlink"/>
            <w:rFonts w:cstheme="minorHAnsi"/>
            <w:noProof/>
            <w:color w:val="1F3864" w:themeColor="accent1" w:themeShade="80"/>
          </w:rPr>
          <w:t>АЖУРИРАЊЕ ЛИСТА РЕЦЕНЗЕНАТА</w:t>
        </w:r>
        <w:r w:rsidR="00836E6D" w:rsidRPr="00836E6D">
          <w:rPr>
            <w:noProof/>
            <w:webHidden/>
            <w:color w:val="1F3864" w:themeColor="accent1" w:themeShade="80"/>
          </w:rPr>
          <w:tab/>
        </w:r>
        <w:r w:rsidR="00836E6D" w:rsidRPr="00836E6D">
          <w:rPr>
            <w:noProof/>
            <w:webHidden/>
            <w:color w:val="1F3864" w:themeColor="accent1" w:themeShade="80"/>
          </w:rPr>
          <w:fldChar w:fldCharType="begin"/>
        </w:r>
        <w:r w:rsidR="00836E6D" w:rsidRPr="00836E6D">
          <w:rPr>
            <w:noProof/>
            <w:webHidden/>
            <w:color w:val="1F3864" w:themeColor="accent1" w:themeShade="80"/>
          </w:rPr>
          <w:instrText xml:space="preserve"> PAGEREF _Toc190682509 \h </w:instrText>
        </w:r>
        <w:r w:rsidR="00836E6D" w:rsidRPr="00836E6D">
          <w:rPr>
            <w:noProof/>
            <w:webHidden/>
            <w:color w:val="1F3864" w:themeColor="accent1" w:themeShade="80"/>
          </w:rPr>
        </w:r>
        <w:r w:rsidR="00836E6D" w:rsidRPr="00836E6D">
          <w:rPr>
            <w:noProof/>
            <w:webHidden/>
            <w:color w:val="1F3864" w:themeColor="accent1" w:themeShade="80"/>
          </w:rPr>
          <w:fldChar w:fldCharType="separate"/>
        </w:r>
        <w:r w:rsidR="001D56A0">
          <w:rPr>
            <w:noProof/>
            <w:webHidden/>
            <w:color w:val="1F3864" w:themeColor="accent1" w:themeShade="80"/>
          </w:rPr>
          <w:t>14</w:t>
        </w:r>
        <w:r w:rsidR="00836E6D" w:rsidRPr="00836E6D">
          <w:rPr>
            <w:noProof/>
            <w:webHidden/>
            <w:color w:val="1F3864" w:themeColor="accent1" w:themeShade="80"/>
          </w:rPr>
          <w:fldChar w:fldCharType="end"/>
        </w:r>
      </w:hyperlink>
    </w:p>
    <w:p w:rsidR="00836E6D" w:rsidRPr="00836E6D" w:rsidRDefault="0083677E">
      <w:pPr>
        <w:pStyle w:val="TOC2"/>
        <w:tabs>
          <w:tab w:val="left" w:pos="960"/>
          <w:tab w:val="right" w:leader="dot" w:pos="9010"/>
        </w:tabs>
        <w:rPr>
          <w:rFonts w:eastAsiaTheme="minorEastAsia"/>
          <w:b w:val="0"/>
          <w:bCs w:val="0"/>
          <w:noProof/>
          <w:color w:val="1F3864" w:themeColor="accent1" w:themeShade="80"/>
          <w:lang w:val="en-GB" w:eastAsia="en-GB"/>
        </w:rPr>
      </w:pPr>
      <w:hyperlink w:anchor="_Toc190682510" w:history="1">
        <w:r w:rsidR="00836E6D" w:rsidRPr="00836E6D">
          <w:rPr>
            <w:rStyle w:val="Hyperlink"/>
            <w:rFonts w:cstheme="minorHAnsi"/>
            <w:noProof/>
            <w:color w:val="1F3864" w:themeColor="accent1" w:themeShade="80"/>
            <w:lang w:val="en-GB"/>
          </w:rPr>
          <w:t>3.4.</w:t>
        </w:r>
        <w:r w:rsidR="00836E6D" w:rsidRPr="00836E6D">
          <w:rPr>
            <w:rFonts w:eastAsiaTheme="minorEastAsia"/>
            <w:b w:val="0"/>
            <w:bCs w:val="0"/>
            <w:noProof/>
            <w:color w:val="1F3864" w:themeColor="accent1" w:themeShade="80"/>
            <w:lang w:val="en-GB" w:eastAsia="en-GB"/>
          </w:rPr>
          <w:tab/>
        </w:r>
        <w:r w:rsidR="00836E6D" w:rsidRPr="00836E6D">
          <w:rPr>
            <w:rStyle w:val="Hyperlink"/>
            <w:rFonts w:cstheme="minorHAnsi"/>
            <w:noProof/>
            <w:color w:val="1F3864" w:themeColor="accent1" w:themeShade="80"/>
          </w:rPr>
          <w:t>МЕЂУНАРОДНА САРАДЊА</w:t>
        </w:r>
        <w:r w:rsidR="00836E6D" w:rsidRPr="00836E6D">
          <w:rPr>
            <w:noProof/>
            <w:webHidden/>
            <w:color w:val="1F3864" w:themeColor="accent1" w:themeShade="80"/>
          </w:rPr>
          <w:tab/>
        </w:r>
        <w:r w:rsidR="00836E6D" w:rsidRPr="00836E6D">
          <w:rPr>
            <w:noProof/>
            <w:webHidden/>
            <w:color w:val="1F3864" w:themeColor="accent1" w:themeShade="80"/>
          </w:rPr>
          <w:fldChar w:fldCharType="begin"/>
        </w:r>
        <w:r w:rsidR="00836E6D" w:rsidRPr="00836E6D">
          <w:rPr>
            <w:noProof/>
            <w:webHidden/>
            <w:color w:val="1F3864" w:themeColor="accent1" w:themeShade="80"/>
          </w:rPr>
          <w:instrText xml:space="preserve"> PAGEREF _Toc190682510 \h </w:instrText>
        </w:r>
        <w:r w:rsidR="00836E6D" w:rsidRPr="00836E6D">
          <w:rPr>
            <w:noProof/>
            <w:webHidden/>
            <w:color w:val="1F3864" w:themeColor="accent1" w:themeShade="80"/>
          </w:rPr>
        </w:r>
        <w:r w:rsidR="00836E6D" w:rsidRPr="00836E6D">
          <w:rPr>
            <w:noProof/>
            <w:webHidden/>
            <w:color w:val="1F3864" w:themeColor="accent1" w:themeShade="80"/>
          </w:rPr>
          <w:fldChar w:fldCharType="separate"/>
        </w:r>
        <w:r w:rsidR="001D56A0">
          <w:rPr>
            <w:noProof/>
            <w:webHidden/>
            <w:color w:val="1F3864" w:themeColor="accent1" w:themeShade="80"/>
          </w:rPr>
          <w:t>14</w:t>
        </w:r>
        <w:r w:rsidR="00836E6D" w:rsidRPr="00836E6D">
          <w:rPr>
            <w:noProof/>
            <w:webHidden/>
            <w:color w:val="1F3864" w:themeColor="accent1" w:themeShade="80"/>
          </w:rPr>
          <w:fldChar w:fldCharType="end"/>
        </w:r>
      </w:hyperlink>
    </w:p>
    <w:p w:rsidR="00836E6D" w:rsidRPr="006A1128" w:rsidRDefault="0083677E">
      <w:pPr>
        <w:pStyle w:val="TOC2"/>
        <w:tabs>
          <w:tab w:val="left" w:pos="960"/>
          <w:tab w:val="right" w:leader="dot" w:pos="9010"/>
        </w:tabs>
        <w:rPr>
          <w:rFonts w:eastAsiaTheme="minorEastAsia"/>
          <w:b w:val="0"/>
          <w:bCs w:val="0"/>
          <w:noProof/>
          <w:color w:val="1F3864" w:themeColor="accent1" w:themeShade="80"/>
          <w:lang w:val="sr-Cyrl-RS" w:eastAsia="en-GB"/>
        </w:rPr>
      </w:pPr>
      <w:hyperlink w:anchor="_Toc190682511" w:history="1">
        <w:r w:rsidR="00836E6D" w:rsidRPr="00836E6D">
          <w:rPr>
            <w:rStyle w:val="Hyperlink"/>
            <w:rFonts w:cstheme="minorHAnsi"/>
            <w:noProof/>
            <w:color w:val="1F3864" w:themeColor="accent1" w:themeShade="80"/>
          </w:rPr>
          <w:t>3.5.</w:t>
        </w:r>
        <w:r w:rsidR="00836E6D" w:rsidRPr="00836E6D">
          <w:rPr>
            <w:rFonts w:eastAsiaTheme="minorEastAsia"/>
            <w:b w:val="0"/>
            <w:bCs w:val="0"/>
            <w:noProof/>
            <w:color w:val="1F3864" w:themeColor="accent1" w:themeShade="80"/>
            <w:lang w:val="en-GB" w:eastAsia="en-GB"/>
          </w:rPr>
          <w:tab/>
        </w:r>
        <w:r w:rsidR="00836E6D" w:rsidRPr="00836E6D">
          <w:rPr>
            <w:rStyle w:val="Hyperlink"/>
            <w:rFonts w:cstheme="minorHAnsi"/>
            <w:noProof/>
            <w:color w:val="1F3864" w:themeColor="accent1" w:themeShade="80"/>
            <w:lang w:val="sr-Cyrl-BA"/>
          </w:rPr>
          <w:t>П</w:t>
        </w:r>
        <w:r w:rsidR="00836E6D" w:rsidRPr="00836E6D">
          <w:rPr>
            <w:rStyle w:val="Hyperlink"/>
            <w:rFonts w:cstheme="minorHAnsi"/>
            <w:noProof/>
            <w:color w:val="1F3864" w:themeColor="accent1" w:themeShade="80"/>
          </w:rPr>
          <w:t>РИЗНАВАЊ</w:t>
        </w:r>
        <w:r w:rsidR="00836E6D" w:rsidRPr="00836E6D">
          <w:rPr>
            <w:rStyle w:val="Hyperlink"/>
            <w:rFonts w:cstheme="minorHAnsi"/>
            <w:noProof/>
            <w:color w:val="1F3864" w:themeColor="accent1" w:themeShade="80"/>
            <w:lang w:val="sr-Cyrl-BA"/>
          </w:rPr>
          <w:t>Е</w:t>
        </w:r>
        <w:r w:rsidR="00836E6D" w:rsidRPr="00836E6D">
          <w:rPr>
            <w:rStyle w:val="Hyperlink"/>
            <w:rFonts w:cstheme="minorHAnsi"/>
            <w:noProof/>
            <w:color w:val="1F3864" w:themeColor="accent1" w:themeShade="80"/>
          </w:rPr>
          <w:t xml:space="preserve"> СТРАНИХ ВИСОКОШКОЛСКИХ КВАЛИФИКАЦИЈА</w:t>
        </w:r>
        <w:r w:rsidR="00836E6D" w:rsidRPr="00836E6D">
          <w:rPr>
            <w:noProof/>
            <w:webHidden/>
            <w:color w:val="1F3864" w:themeColor="accent1" w:themeShade="80"/>
          </w:rPr>
          <w:tab/>
        </w:r>
        <w:r w:rsidR="00836E6D" w:rsidRPr="00836E6D">
          <w:rPr>
            <w:noProof/>
            <w:webHidden/>
            <w:color w:val="1F3864" w:themeColor="accent1" w:themeShade="80"/>
          </w:rPr>
          <w:fldChar w:fldCharType="begin"/>
        </w:r>
        <w:r w:rsidR="00836E6D" w:rsidRPr="00836E6D">
          <w:rPr>
            <w:noProof/>
            <w:webHidden/>
            <w:color w:val="1F3864" w:themeColor="accent1" w:themeShade="80"/>
          </w:rPr>
          <w:instrText xml:space="preserve"> PAGEREF _Toc190682511 \h </w:instrText>
        </w:r>
        <w:r w:rsidR="00836E6D" w:rsidRPr="00836E6D">
          <w:rPr>
            <w:noProof/>
            <w:webHidden/>
            <w:color w:val="1F3864" w:themeColor="accent1" w:themeShade="80"/>
          </w:rPr>
        </w:r>
        <w:r w:rsidR="00836E6D" w:rsidRPr="00836E6D">
          <w:rPr>
            <w:noProof/>
            <w:webHidden/>
            <w:color w:val="1F3864" w:themeColor="accent1" w:themeShade="80"/>
          </w:rPr>
          <w:fldChar w:fldCharType="separate"/>
        </w:r>
        <w:r w:rsidR="001D56A0">
          <w:rPr>
            <w:noProof/>
            <w:webHidden/>
            <w:color w:val="1F3864" w:themeColor="accent1" w:themeShade="80"/>
          </w:rPr>
          <w:t>18</w:t>
        </w:r>
        <w:r w:rsidR="00836E6D" w:rsidRPr="00836E6D">
          <w:rPr>
            <w:noProof/>
            <w:webHidden/>
            <w:color w:val="1F3864" w:themeColor="accent1" w:themeShade="80"/>
          </w:rPr>
          <w:fldChar w:fldCharType="end"/>
        </w:r>
      </w:hyperlink>
    </w:p>
    <w:p w:rsidR="00836E6D" w:rsidRPr="00836E6D" w:rsidRDefault="0083677E">
      <w:pPr>
        <w:pStyle w:val="TOC2"/>
        <w:tabs>
          <w:tab w:val="left" w:pos="960"/>
          <w:tab w:val="right" w:leader="dot" w:pos="9010"/>
        </w:tabs>
        <w:rPr>
          <w:rFonts w:eastAsiaTheme="minorEastAsia"/>
          <w:b w:val="0"/>
          <w:bCs w:val="0"/>
          <w:noProof/>
          <w:color w:val="1F3864" w:themeColor="accent1" w:themeShade="80"/>
          <w:lang w:val="en-GB" w:eastAsia="en-GB"/>
        </w:rPr>
      </w:pPr>
      <w:hyperlink w:anchor="_Toc190682512" w:history="1">
        <w:r w:rsidR="00836E6D" w:rsidRPr="00836E6D">
          <w:rPr>
            <w:rStyle w:val="Hyperlink"/>
            <w:rFonts w:cstheme="minorHAnsi"/>
            <w:noProof/>
            <w:color w:val="1F3864" w:themeColor="accent1" w:themeShade="80"/>
          </w:rPr>
          <w:t>3.6.</w:t>
        </w:r>
        <w:r w:rsidR="00836E6D" w:rsidRPr="00836E6D">
          <w:rPr>
            <w:rFonts w:eastAsiaTheme="minorEastAsia"/>
            <w:b w:val="0"/>
            <w:bCs w:val="0"/>
            <w:noProof/>
            <w:color w:val="1F3864" w:themeColor="accent1" w:themeShade="80"/>
            <w:lang w:val="en-GB" w:eastAsia="en-GB"/>
          </w:rPr>
          <w:tab/>
        </w:r>
        <w:r w:rsidR="00836E6D" w:rsidRPr="00836E6D">
          <w:rPr>
            <w:rStyle w:val="Hyperlink"/>
            <w:rFonts w:cstheme="minorHAnsi"/>
            <w:noProof/>
            <w:color w:val="1F3864" w:themeColor="accent1" w:themeShade="80"/>
          </w:rPr>
          <w:t>САРАДЊА СА ИНСТИТУЦИЈАМА И ТИЈЕЛИМА У ВИСОКОМ ОБРАЗОВАЊУ</w:t>
        </w:r>
        <w:r w:rsidR="006A1128">
          <w:rPr>
            <w:rStyle w:val="Hyperlink"/>
            <w:rFonts w:cstheme="minorHAnsi"/>
            <w:noProof/>
            <w:color w:val="1F3864" w:themeColor="accent1" w:themeShade="80"/>
            <w:lang w:val="sr-Cyrl-RS"/>
          </w:rPr>
          <w:t>...............</w:t>
        </w:r>
        <w:r w:rsidR="006A1128">
          <w:rPr>
            <w:noProof/>
            <w:webHidden/>
            <w:color w:val="1F3864" w:themeColor="accent1" w:themeShade="80"/>
            <w:lang w:val="sr-Cyrl-RS"/>
          </w:rPr>
          <w:t>20</w:t>
        </w:r>
      </w:hyperlink>
    </w:p>
    <w:p w:rsidR="00836E6D" w:rsidRPr="00836E6D" w:rsidRDefault="0083677E">
      <w:pPr>
        <w:pStyle w:val="TOC1"/>
        <w:tabs>
          <w:tab w:val="right" w:leader="dot" w:pos="9010"/>
        </w:tabs>
        <w:rPr>
          <w:rFonts w:eastAsiaTheme="minorEastAsia"/>
          <w:b w:val="0"/>
          <w:bCs w:val="0"/>
          <w:i w:val="0"/>
          <w:iCs w:val="0"/>
          <w:noProof/>
          <w:color w:val="1F3864" w:themeColor="accent1" w:themeShade="80"/>
          <w:sz w:val="22"/>
          <w:szCs w:val="22"/>
          <w:lang w:val="en-GB" w:eastAsia="en-GB"/>
        </w:rPr>
      </w:pPr>
      <w:hyperlink w:anchor="_Toc190682513" w:history="1">
        <w:r w:rsidR="00836E6D" w:rsidRPr="00836E6D">
          <w:rPr>
            <w:rStyle w:val="Hyperlink"/>
            <w:rFonts w:cstheme="minorHAnsi"/>
            <w:noProof/>
            <w:color w:val="1F3864" w:themeColor="accent1" w:themeShade="80"/>
            <w:lang w:val="sr-Latn-RS"/>
          </w:rPr>
          <w:t xml:space="preserve">IV  </w:t>
        </w:r>
        <w:r w:rsidR="00836E6D" w:rsidRPr="00836E6D">
          <w:rPr>
            <w:rStyle w:val="Hyperlink"/>
            <w:rFonts w:cstheme="minorHAnsi"/>
            <w:noProof/>
            <w:color w:val="1F3864" w:themeColor="accent1" w:themeShade="80"/>
          </w:rPr>
          <w:t>ОРГАНИЗАЦИЈА РАДА</w:t>
        </w:r>
        <w:r w:rsidR="00836E6D" w:rsidRPr="00836E6D">
          <w:rPr>
            <w:noProof/>
            <w:webHidden/>
            <w:color w:val="1F3864" w:themeColor="accent1" w:themeShade="80"/>
          </w:rPr>
          <w:tab/>
        </w:r>
        <w:r w:rsidR="00836E6D" w:rsidRPr="00836E6D">
          <w:rPr>
            <w:noProof/>
            <w:webHidden/>
            <w:color w:val="1F3864" w:themeColor="accent1" w:themeShade="80"/>
          </w:rPr>
          <w:fldChar w:fldCharType="begin"/>
        </w:r>
        <w:r w:rsidR="00836E6D" w:rsidRPr="00836E6D">
          <w:rPr>
            <w:noProof/>
            <w:webHidden/>
            <w:color w:val="1F3864" w:themeColor="accent1" w:themeShade="80"/>
          </w:rPr>
          <w:instrText xml:space="preserve"> PAGEREF _Toc190682513 \h </w:instrText>
        </w:r>
        <w:r w:rsidR="00836E6D" w:rsidRPr="00836E6D">
          <w:rPr>
            <w:noProof/>
            <w:webHidden/>
            <w:color w:val="1F3864" w:themeColor="accent1" w:themeShade="80"/>
          </w:rPr>
        </w:r>
        <w:r w:rsidR="00836E6D" w:rsidRPr="00836E6D">
          <w:rPr>
            <w:noProof/>
            <w:webHidden/>
            <w:color w:val="1F3864" w:themeColor="accent1" w:themeShade="80"/>
          </w:rPr>
          <w:fldChar w:fldCharType="separate"/>
        </w:r>
        <w:r w:rsidR="001D56A0">
          <w:rPr>
            <w:noProof/>
            <w:webHidden/>
            <w:color w:val="1F3864" w:themeColor="accent1" w:themeShade="80"/>
          </w:rPr>
          <w:t>21</w:t>
        </w:r>
        <w:r w:rsidR="00836E6D" w:rsidRPr="00836E6D">
          <w:rPr>
            <w:noProof/>
            <w:webHidden/>
            <w:color w:val="1F3864" w:themeColor="accent1" w:themeShade="80"/>
          </w:rPr>
          <w:fldChar w:fldCharType="end"/>
        </w:r>
      </w:hyperlink>
    </w:p>
    <w:p w:rsidR="00836E6D" w:rsidRPr="006A1128" w:rsidRDefault="0083677E">
      <w:pPr>
        <w:pStyle w:val="TOC2"/>
        <w:tabs>
          <w:tab w:val="left" w:pos="960"/>
          <w:tab w:val="right" w:leader="dot" w:pos="9010"/>
        </w:tabs>
        <w:rPr>
          <w:rFonts w:eastAsiaTheme="minorEastAsia"/>
          <w:b w:val="0"/>
          <w:bCs w:val="0"/>
          <w:noProof/>
          <w:color w:val="1F3864" w:themeColor="accent1" w:themeShade="80"/>
          <w:lang w:val="sr-Cyrl-RS" w:eastAsia="en-GB"/>
        </w:rPr>
      </w:pPr>
      <w:hyperlink w:anchor="_Toc190682514" w:history="1">
        <w:r w:rsidR="00836E6D" w:rsidRPr="00836E6D">
          <w:rPr>
            <w:rStyle w:val="Hyperlink"/>
            <w:rFonts w:cstheme="minorHAnsi"/>
            <w:noProof/>
            <w:color w:val="1F3864" w:themeColor="accent1" w:themeShade="80"/>
          </w:rPr>
          <w:t>4.1.</w:t>
        </w:r>
        <w:r w:rsidR="00836E6D" w:rsidRPr="00836E6D">
          <w:rPr>
            <w:rFonts w:eastAsiaTheme="minorEastAsia"/>
            <w:b w:val="0"/>
            <w:bCs w:val="0"/>
            <w:noProof/>
            <w:color w:val="1F3864" w:themeColor="accent1" w:themeShade="80"/>
            <w:lang w:val="en-GB" w:eastAsia="en-GB"/>
          </w:rPr>
          <w:tab/>
        </w:r>
        <w:r w:rsidR="00836E6D" w:rsidRPr="00836E6D">
          <w:rPr>
            <w:rStyle w:val="Hyperlink"/>
            <w:rFonts w:cstheme="minorHAnsi"/>
            <w:noProof/>
            <w:color w:val="1F3864" w:themeColor="accent1" w:themeShade="80"/>
          </w:rPr>
          <w:t>РАД ОРГАНА И ТИЈЕЛА АГЕНЦИЈЕ</w:t>
        </w:r>
        <w:r w:rsidR="00836E6D" w:rsidRPr="00836E6D">
          <w:rPr>
            <w:noProof/>
            <w:webHidden/>
            <w:color w:val="1F3864" w:themeColor="accent1" w:themeShade="80"/>
          </w:rPr>
          <w:tab/>
        </w:r>
        <w:r w:rsidR="00836E6D" w:rsidRPr="00836E6D">
          <w:rPr>
            <w:noProof/>
            <w:webHidden/>
            <w:color w:val="1F3864" w:themeColor="accent1" w:themeShade="80"/>
          </w:rPr>
          <w:fldChar w:fldCharType="begin"/>
        </w:r>
        <w:r w:rsidR="00836E6D" w:rsidRPr="00836E6D">
          <w:rPr>
            <w:noProof/>
            <w:webHidden/>
            <w:color w:val="1F3864" w:themeColor="accent1" w:themeShade="80"/>
          </w:rPr>
          <w:instrText xml:space="preserve"> PAGEREF _Toc190682514 \h </w:instrText>
        </w:r>
        <w:r w:rsidR="00836E6D" w:rsidRPr="00836E6D">
          <w:rPr>
            <w:noProof/>
            <w:webHidden/>
            <w:color w:val="1F3864" w:themeColor="accent1" w:themeShade="80"/>
          </w:rPr>
        </w:r>
        <w:r w:rsidR="00836E6D" w:rsidRPr="00836E6D">
          <w:rPr>
            <w:noProof/>
            <w:webHidden/>
            <w:color w:val="1F3864" w:themeColor="accent1" w:themeShade="80"/>
          </w:rPr>
          <w:fldChar w:fldCharType="separate"/>
        </w:r>
        <w:r w:rsidR="001D56A0">
          <w:rPr>
            <w:noProof/>
            <w:webHidden/>
            <w:color w:val="1F3864" w:themeColor="accent1" w:themeShade="80"/>
          </w:rPr>
          <w:t>22</w:t>
        </w:r>
        <w:r w:rsidR="00836E6D" w:rsidRPr="00836E6D">
          <w:rPr>
            <w:noProof/>
            <w:webHidden/>
            <w:color w:val="1F3864" w:themeColor="accent1" w:themeShade="80"/>
          </w:rPr>
          <w:fldChar w:fldCharType="end"/>
        </w:r>
      </w:hyperlink>
    </w:p>
    <w:p w:rsidR="00836E6D" w:rsidRPr="006A1128" w:rsidRDefault="0083677E">
      <w:pPr>
        <w:pStyle w:val="TOC1"/>
        <w:tabs>
          <w:tab w:val="right" w:leader="dot" w:pos="9010"/>
        </w:tabs>
        <w:rPr>
          <w:rFonts w:eastAsiaTheme="minorEastAsia"/>
          <w:b w:val="0"/>
          <w:bCs w:val="0"/>
          <w:i w:val="0"/>
          <w:iCs w:val="0"/>
          <w:noProof/>
          <w:color w:val="1F3864" w:themeColor="accent1" w:themeShade="80"/>
          <w:sz w:val="22"/>
          <w:szCs w:val="22"/>
          <w:lang w:val="sr-Cyrl-RS" w:eastAsia="en-GB"/>
        </w:rPr>
      </w:pPr>
      <w:hyperlink w:anchor="_Toc190682515" w:history="1">
        <w:r w:rsidR="00836E6D" w:rsidRPr="00836E6D">
          <w:rPr>
            <w:rStyle w:val="Hyperlink"/>
            <w:rFonts w:cstheme="minorHAnsi"/>
            <w:noProof/>
            <w:color w:val="1F3864" w:themeColor="accent1" w:themeShade="80"/>
            <w:lang w:val="sr-Latn-RS"/>
          </w:rPr>
          <w:t xml:space="preserve">V   </w:t>
        </w:r>
        <w:r w:rsidR="00836E6D" w:rsidRPr="00836E6D">
          <w:rPr>
            <w:rStyle w:val="Hyperlink"/>
            <w:rFonts w:cstheme="minorHAnsi"/>
            <w:noProof/>
            <w:color w:val="1F3864" w:themeColor="accent1" w:themeShade="80"/>
          </w:rPr>
          <w:t>ФИНАНСИЈСКИ ИЗВЈЕШТАЈ</w:t>
        </w:r>
        <w:r w:rsidR="00836E6D" w:rsidRPr="00836E6D">
          <w:rPr>
            <w:noProof/>
            <w:webHidden/>
            <w:color w:val="1F3864" w:themeColor="accent1" w:themeShade="80"/>
          </w:rPr>
          <w:tab/>
        </w:r>
        <w:r w:rsidR="00836E6D" w:rsidRPr="00836E6D">
          <w:rPr>
            <w:noProof/>
            <w:webHidden/>
            <w:color w:val="1F3864" w:themeColor="accent1" w:themeShade="80"/>
          </w:rPr>
          <w:fldChar w:fldCharType="begin"/>
        </w:r>
        <w:r w:rsidR="00836E6D" w:rsidRPr="00836E6D">
          <w:rPr>
            <w:noProof/>
            <w:webHidden/>
            <w:color w:val="1F3864" w:themeColor="accent1" w:themeShade="80"/>
          </w:rPr>
          <w:instrText xml:space="preserve"> PAGEREF _Toc190682515 \h </w:instrText>
        </w:r>
        <w:r w:rsidR="00836E6D" w:rsidRPr="00836E6D">
          <w:rPr>
            <w:noProof/>
            <w:webHidden/>
            <w:color w:val="1F3864" w:themeColor="accent1" w:themeShade="80"/>
          </w:rPr>
        </w:r>
        <w:r w:rsidR="00836E6D" w:rsidRPr="00836E6D">
          <w:rPr>
            <w:noProof/>
            <w:webHidden/>
            <w:color w:val="1F3864" w:themeColor="accent1" w:themeShade="80"/>
          </w:rPr>
          <w:fldChar w:fldCharType="separate"/>
        </w:r>
        <w:r w:rsidR="001D56A0">
          <w:rPr>
            <w:noProof/>
            <w:webHidden/>
            <w:color w:val="1F3864" w:themeColor="accent1" w:themeShade="80"/>
          </w:rPr>
          <w:t>24</w:t>
        </w:r>
        <w:r w:rsidR="00836E6D" w:rsidRPr="00836E6D">
          <w:rPr>
            <w:noProof/>
            <w:webHidden/>
            <w:color w:val="1F3864" w:themeColor="accent1" w:themeShade="80"/>
          </w:rPr>
          <w:fldChar w:fldCharType="end"/>
        </w:r>
      </w:hyperlink>
    </w:p>
    <w:p w:rsidR="00567B46" w:rsidRDefault="00F007E9" w:rsidP="00095580">
      <w:pPr>
        <w:spacing w:after="160" w:line="276" w:lineRule="auto"/>
        <w:jc w:val="center"/>
        <w:rPr>
          <w:rFonts w:eastAsia="Calibri" w:cstheme="minorHAnsi"/>
          <w:color w:val="2F5496" w:themeColor="accent1" w:themeShade="BF"/>
          <w:sz w:val="22"/>
          <w:szCs w:val="22"/>
          <w:lang w:val="hr-BA"/>
        </w:rPr>
      </w:pPr>
      <w:r w:rsidRPr="00836E6D">
        <w:rPr>
          <w:rFonts w:eastAsia="Calibri" w:cstheme="minorHAnsi"/>
          <w:color w:val="1F3864" w:themeColor="accent1" w:themeShade="80"/>
          <w:sz w:val="22"/>
          <w:szCs w:val="22"/>
          <w:lang w:val="hr-BA"/>
        </w:rPr>
        <w:fldChar w:fldCharType="end"/>
      </w:r>
    </w:p>
    <w:p w:rsidR="00F330BD" w:rsidRPr="005D1430" w:rsidRDefault="00F330BD" w:rsidP="00095580">
      <w:pPr>
        <w:spacing w:after="160" w:line="276" w:lineRule="auto"/>
        <w:jc w:val="center"/>
        <w:rPr>
          <w:rFonts w:eastAsia="Calibri" w:cstheme="minorHAnsi"/>
          <w:sz w:val="22"/>
          <w:szCs w:val="22"/>
          <w:lang w:val="hr-BA"/>
        </w:rPr>
      </w:pPr>
    </w:p>
    <w:p w:rsidR="00567B46" w:rsidRPr="005D1430" w:rsidRDefault="00567B46" w:rsidP="00095580">
      <w:pPr>
        <w:spacing w:after="160" w:line="276" w:lineRule="auto"/>
        <w:jc w:val="center"/>
        <w:rPr>
          <w:rFonts w:eastAsia="Calibri" w:cstheme="minorHAnsi"/>
          <w:sz w:val="22"/>
          <w:szCs w:val="22"/>
          <w:lang w:val="hr-BA"/>
        </w:rPr>
      </w:pPr>
    </w:p>
    <w:p w:rsidR="00567B46" w:rsidRPr="005D1430" w:rsidRDefault="00567B46" w:rsidP="00095580">
      <w:pPr>
        <w:spacing w:after="160" w:line="276" w:lineRule="auto"/>
        <w:jc w:val="center"/>
        <w:rPr>
          <w:rFonts w:eastAsia="Calibri" w:cstheme="minorHAnsi"/>
          <w:sz w:val="22"/>
          <w:szCs w:val="22"/>
          <w:lang w:val="hr-BA"/>
        </w:rPr>
      </w:pPr>
    </w:p>
    <w:p w:rsidR="00567B46" w:rsidRPr="005D1430" w:rsidRDefault="00567B46" w:rsidP="00095580">
      <w:pPr>
        <w:spacing w:after="160" w:line="276" w:lineRule="auto"/>
        <w:jc w:val="center"/>
        <w:rPr>
          <w:rFonts w:eastAsia="Calibri" w:cstheme="minorHAnsi"/>
          <w:sz w:val="22"/>
          <w:szCs w:val="22"/>
          <w:lang w:val="hr-BA"/>
        </w:rPr>
      </w:pPr>
    </w:p>
    <w:p w:rsidR="0064204A" w:rsidRPr="000B1BFC" w:rsidRDefault="0064204A" w:rsidP="002F712F">
      <w:pPr>
        <w:spacing w:line="276" w:lineRule="auto"/>
        <w:rPr>
          <w:rFonts w:eastAsia="Calibri" w:cstheme="minorHAnsi"/>
          <w:b/>
          <w:color w:val="323E4F" w:themeColor="text2" w:themeShade="BF"/>
          <w:sz w:val="22"/>
          <w:szCs w:val="22"/>
          <w:lang w:val="sr-Cyrl-RS"/>
        </w:rPr>
      </w:pPr>
    </w:p>
    <w:p w:rsidR="00276321" w:rsidRPr="00131597" w:rsidRDefault="002F712F" w:rsidP="00131597">
      <w:pPr>
        <w:rPr>
          <w:rFonts w:eastAsia="Calibri" w:cstheme="minorHAnsi"/>
          <w:b/>
          <w:color w:val="323E4F" w:themeColor="text2" w:themeShade="BF"/>
          <w:sz w:val="22"/>
          <w:szCs w:val="22"/>
          <w:lang w:val="sr-Cyrl-RS"/>
        </w:rPr>
      </w:pPr>
      <w:r>
        <w:rPr>
          <w:rFonts w:eastAsia="Calibri" w:cstheme="minorHAnsi"/>
          <w:b/>
          <w:color w:val="323E4F" w:themeColor="text2" w:themeShade="BF"/>
          <w:sz w:val="22"/>
          <w:szCs w:val="22"/>
          <w:lang w:val="sr-Cyrl-RS"/>
        </w:rPr>
        <w:br w:type="page"/>
      </w:r>
    </w:p>
    <w:p w:rsidR="00D16746" w:rsidRPr="00276321" w:rsidRDefault="00D16746" w:rsidP="00095580">
      <w:pPr>
        <w:spacing w:line="276" w:lineRule="auto"/>
        <w:jc w:val="center"/>
        <w:rPr>
          <w:rFonts w:eastAsia="Calibri" w:cstheme="minorHAnsi"/>
          <w:b/>
          <w:color w:val="323E4F" w:themeColor="text2" w:themeShade="BF"/>
          <w:sz w:val="28"/>
          <w:szCs w:val="28"/>
          <w:lang w:val="sr-Cyrl-RS"/>
        </w:rPr>
      </w:pPr>
      <w:r w:rsidRPr="00276321">
        <w:rPr>
          <w:rFonts w:eastAsia="Calibri" w:cstheme="minorHAnsi"/>
          <w:b/>
          <w:color w:val="323E4F" w:themeColor="text2" w:themeShade="BF"/>
          <w:sz w:val="28"/>
          <w:szCs w:val="28"/>
          <w:lang w:val="sr-Cyrl-RS"/>
        </w:rPr>
        <w:t xml:space="preserve">ИЗВЈЕШТАЈ О РАДУ </w:t>
      </w:r>
    </w:p>
    <w:p w:rsidR="00605A04" w:rsidRPr="00276321" w:rsidRDefault="00D16746" w:rsidP="00095580">
      <w:pPr>
        <w:spacing w:line="276" w:lineRule="auto"/>
        <w:jc w:val="center"/>
        <w:rPr>
          <w:rFonts w:eastAsia="Calibri" w:cstheme="minorHAnsi"/>
          <w:b/>
          <w:color w:val="323E4F" w:themeColor="text2" w:themeShade="BF"/>
          <w:sz w:val="28"/>
          <w:szCs w:val="28"/>
          <w:lang w:val="hr-BA"/>
        </w:rPr>
      </w:pPr>
      <w:r w:rsidRPr="00276321">
        <w:rPr>
          <w:rFonts w:eastAsia="Calibri" w:cstheme="minorHAnsi"/>
          <w:b/>
          <w:color w:val="323E4F" w:themeColor="text2" w:themeShade="BF"/>
          <w:sz w:val="28"/>
          <w:szCs w:val="28"/>
          <w:lang w:val="hr-BA"/>
        </w:rPr>
        <w:t xml:space="preserve">АГЕНЦИЈЕ ЗА </w:t>
      </w:r>
      <w:r w:rsidRPr="00276321">
        <w:rPr>
          <w:rFonts w:eastAsia="Calibri" w:cstheme="minorHAnsi"/>
          <w:b/>
          <w:color w:val="323E4F" w:themeColor="text2" w:themeShade="BF"/>
          <w:sz w:val="28"/>
          <w:szCs w:val="28"/>
          <w:lang w:val="sr-Cyrl-BA"/>
        </w:rPr>
        <w:t>ВИСОКО ОБРАЗОВАЊЕ</w:t>
      </w:r>
      <w:r w:rsidRPr="00276321">
        <w:rPr>
          <w:rFonts w:eastAsia="Calibri" w:cstheme="minorHAnsi"/>
          <w:b/>
          <w:color w:val="323E4F" w:themeColor="text2" w:themeShade="BF"/>
          <w:sz w:val="28"/>
          <w:szCs w:val="28"/>
          <w:lang w:val="hr-BA"/>
        </w:rPr>
        <w:t xml:space="preserve"> РЕПУБЛИКЕ СРПСКЕ </w:t>
      </w:r>
    </w:p>
    <w:p w:rsidR="00D16746" w:rsidRPr="00276321" w:rsidRDefault="00D16746" w:rsidP="00095580">
      <w:pPr>
        <w:spacing w:line="276" w:lineRule="auto"/>
        <w:jc w:val="center"/>
        <w:rPr>
          <w:rFonts w:eastAsia="Calibri" w:cstheme="minorHAnsi"/>
          <w:b/>
          <w:color w:val="323E4F" w:themeColor="text2" w:themeShade="BF"/>
          <w:sz w:val="28"/>
          <w:szCs w:val="28"/>
          <w:lang w:val="sr-Cyrl-RS"/>
        </w:rPr>
      </w:pPr>
      <w:r w:rsidRPr="00276321">
        <w:rPr>
          <w:rFonts w:eastAsia="Calibri" w:cstheme="minorHAnsi"/>
          <w:b/>
          <w:color w:val="323E4F" w:themeColor="text2" w:themeShade="BF"/>
          <w:sz w:val="28"/>
          <w:szCs w:val="28"/>
          <w:lang w:val="hr-BA"/>
        </w:rPr>
        <w:t>ЗА 202</w:t>
      </w:r>
      <w:r w:rsidR="00D8009A">
        <w:rPr>
          <w:rFonts w:eastAsia="Calibri" w:cstheme="minorHAnsi"/>
          <w:b/>
          <w:color w:val="323E4F" w:themeColor="text2" w:themeShade="BF"/>
          <w:sz w:val="28"/>
          <w:szCs w:val="28"/>
          <w:lang w:val="sr-Cyrl-RS"/>
        </w:rPr>
        <w:t>4</w:t>
      </w:r>
      <w:r w:rsidRPr="00276321">
        <w:rPr>
          <w:rFonts w:eastAsia="Calibri" w:cstheme="minorHAnsi"/>
          <w:b/>
          <w:color w:val="323E4F" w:themeColor="text2" w:themeShade="BF"/>
          <w:sz w:val="28"/>
          <w:szCs w:val="28"/>
          <w:lang w:val="hr-BA"/>
        </w:rPr>
        <w:t>. ГОДИНУ</w:t>
      </w:r>
    </w:p>
    <w:p w:rsidR="001E378E" w:rsidRPr="000B1BFC" w:rsidRDefault="001E378E" w:rsidP="00095580">
      <w:pPr>
        <w:spacing w:line="276" w:lineRule="auto"/>
        <w:rPr>
          <w:rFonts w:eastAsia="Calibri" w:cstheme="minorHAnsi"/>
          <w:color w:val="323E4F" w:themeColor="text2" w:themeShade="BF"/>
          <w:sz w:val="22"/>
          <w:szCs w:val="22"/>
          <w:lang w:val="hr-BA"/>
        </w:rPr>
      </w:pPr>
    </w:p>
    <w:p w:rsidR="001E378E" w:rsidRPr="002F712F" w:rsidRDefault="001E378E" w:rsidP="00FC7CC5">
      <w:pPr>
        <w:pStyle w:val="a"/>
        <w:numPr>
          <w:ilvl w:val="0"/>
          <w:numId w:val="7"/>
        </w:numPr>
        <w:rPr>
          <w:rFonts w:asciiTheme="minorHAnsi" w:hAnsiTheme="minorHAnsi" w:cstheme="minorHAnsi"/>
          <w:color w:val="323E4F" w:themeColor="text2" w:themeShade="BF"/>
        </w:rPr>
      </w:pPr>
      <w:bookmarkStart w:id="1" w:name="_Toc190682504"/>
      <w:r w:rsidRPr="002F712F">
        <w:rPr>
          <w:rFonts w:asciiTheme="minorHAnsi" w:hAnsiTheme="minorHAnsi" w:cstheme="minorHAnsi"/>
          <w:color w:val="323E4F" w:themeColor="text2" w:themeShade="BF"/>
        </w:rPr>
        <w:t>УВОД</w:t>
      </w:r>
      <w:bookmarkEnd w:id="1"/>
    </w:p>
    <w:p w:rsidR="001E378E" w:rsidRPr="005D1430" w:rsidRDefault="001E378E" w:rsidP="004262FF">
      <w:pPr>
        <w:spacing w:after="240" w:line="276" w:lineRule="auto"/>
        <w:jc w:val="both"/>
        <w:rPr>
          <w:rFonts w:cstheme="minorHAnsi"/>
          <w:sz w:val="22"/>
          <w:szCs w:val="22"/>
          <w:lang w:val="sr-Cyrl-RS"/>
        </w:rPr>
      </w:pPr>
    </w:p>
    <w:p w:rsidR="00D8009A" w:rsidRPr="005F3434" w:rsidRDefault="000725E5" w:rsidP="005F3434">
      <w:pPr>
        <w:spacing w:after="240" w:line="276" w:lineRule="auto"/>
        <w:jc w:val="both"/>
        <w:rPr>
          <w:rFonts w:cstheme="minorHAnsi"/>
          <w:sz w:val="22"/>
          <w:szCs w:val="22"/>
          <w:lang w:val="sr-Cyrl-RS"/>
        </w:rPr>
      </w:pPr>
      <w:r w:rsidRPr="005D1430">
        <w:rPr>
          <w:rFonts w:cstheme="minorHAnsi"/>
          <w:sz w:val="22"/>
          <w:szCs w:val="22"/>
          <w:lang w:val="sr-Cyrl-RS"/>
        </w:rPr>
        <w:t>Агенција за високо образовање Републике Српске je oснована Одлуком Владе Републике Српске број: 04/1-012-2-273/11 од 24.02.2011. године под називом ЈУ Агенција за акредитацију високошколских установа Републике Српске. Законом о обезбјеђењу квалитета у високом образовању Републике Српске,</w:t>
      </w:r>
      <w:r w:rsidRPr="005D1430">
        <w:rPr>
          <w:rStyle w:val="FootnoteReference"/>
          <w:rFonts w:cstheme="minorHAnsi"/>
          <w:sz w:val="22"/>
          <w:szCs w:val="22"/>
          <w:lang w:val="sr-Cyrl-RS"/>
        </w:rPr>
        <w:footnoteReference w:id="1"/>
      </w:r>
      <w:r w:rsidRPr="005D1430">
        <w:rPr>
          <w:rFonts w:cstheme="minorHAnsi"/>
          <w:sz w:val="22"/>
          <w:szCs w:val="22"/>
          <w:lang w:val="sr-Cyrl-RS"/>
        </w:rPr>
        <w:t xml:space="preserve"> ЈУ Агенција за акредитацију високошколских установа Републике Српске је трансформисана у Агенцију за високо образовање Републике Српске (у даљем тексту: Агенција) као њен правни сљедбеник. У складу са Законом </w:t>
      </w:r>
      <w:r w:rsidR="00D8009A">
        <w:rPr>
          <w:rFonts w:cstheme="minorHAnsi"/>
          <w:sz w:val="22"/>
          <w:szCs w:val="22"/>
          <w:lang w:val="sr-Cyrl-RS"/>
        </w:rPr>
        <w:t>о Агенцији за високо образовање</w:t>
      </w:r>
      <w:r w:rsidR="008536B8" w:rsidRPr="008536B8">
        <w:rPr>
          <w:rFonts w:cstheme="minorHAnsi"/>
          <w:sz w:val="22"/>
          <w:szCs w:val="22"/>
          <w:lang w:val="sr-Cyrl-RS"/>
        </w:rPr>
        <w:t xml:space="preserve"> </w:t>
      </w:r>
      <w:r w:rsidR="008536B8">
        <w:rPr>
          <w:rFonts w:cstheme="minorHAnsi"/>
          <w:sz w:val="22"/>
          <w:szCs w:val="22"/>
          <w:lang w:val="sr-Cyrl-RS"/>
        </w:rPr>
        <w:t>Републике Српске</w:t>
      </w:r>
      <w:r w:rsidR="008536B8">
        <w:rPr>
          <w:rStyle w:val="FootnoteReference"/>
          <w:rFonts w:cstheme="minorHAnsi"/>
          <w:sz w:val="22"/>
          <w:szCs w:val="22"/>
          <w:lang w:val="sr-Cyrl-RS"/>
        </w:rPr>
        <w:t xml:space="preserve"> </w:t>
      </w:r>
      <w:r w:rsidR="00D8009A">
        <w:rPr>
          <w:rStyle w:val="FootnoteReference"/>
          <w:rFonts w:cstheme="minorHAnsi"/>
          <w:sz w:val="22"/>
          <w:szCs w:val="22"/>
          <w:lang w:val="sr-Cyrl-RS"/>
        </w:rPr>
        <w:footnoteReference w:id="2"/>
      </w:r>
      <w:r w:rsidRPr="005D1430">
        <w:rPr>
          <w:rFonts w:cstheme="minorHAnsi"/>
          <w:sz w:val="22"/>
          <w:szCs w:val="22"/>
          <w:lang w:val="sr-Cyrl-RS"/>
        </w:rPr>
        <w:t xml:space="preserve"> и Статутом Агенције,</w:t>
      </w:r>
      <w:r w:rsidRPr="005D1430">
        <w:rPr>
          <w:rStyle w:val="FootnoteReference"/>
          <w:rFonts w:cstheme="minorHAnsi"/>
          <w:sz w:val="22"/>
          <w:szCs w:val="22"/>
          <w:lang w:val="sr-Cyrl-RS"/>
        </w:rPr>
        <w:footnoteReference w:id="3"/>
      </w:r>
      <w:r w:rsidR="00DD5984">
        <w:rPr>
          <w:rFonts w:cstheme="minorHAnsi"/>
          <w:sz w:val="22"/>
          <w:szCs w:val="22"/>
          <w:lang w:val="sr-Cyrl-RS"/>
        </w:rPr>
        <w:t xml:space="preserve"> </w:t>
      </w:r>
      <w:r w:rsidR="001E1E15">
        <w:rPr>
          <w:rFonts w:cstheme="minorHAnsi"/>
          <w:sz w:val="22"/>
          <w:szCs w:val="22"/>
          <w:lang w:val="sr-Cyrl-RS"/>
        </w:rPr>
        <w:t xml:space="preserve"> </w:t>
      </w:r>
      <w:r w:rsidR="00DD5984">
        <w:rPr>
          <w:rFonts w:cstheme="minorHAnsi"/>
          <w:sz w:val="22"/>
          <w:szCs w:val="22"/>
          <w:lang w:val="sr-Cyrl-RS"/>
        </w:rPr>
        <w:t xml:space="preserve">Агенција </w:t>
      </w:r>
      <w:r w:rsidR="00D8009A">
        <w:rPr>
          <w:rFonts w:cstheme="minorHAnsi"/>
          <w:sz w:val="22"/>
          <w:szCs w:val="22"/>
          <w:lang w:val="sr-Cyrl-RS"/>
        </w:rPr>
        <w:t>је надлежна за</w:t>
      </w:r>
      <w:r w:rsidR="00DD5984">
        <w:rPr>
          <w:rFonts w:cstheme="minorHAnsi"/>
          <w:sz w:val="22"/>
          <w:szCs w:val="22"/>
          <w:lang w:val="sr-Cyrl-RS"/>
        </w:rPr>
        <w:t>:</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унапређење и усклађивање система високог образовања Републике</w:t>
      </w:r>
      <w:r>
        <w:rPr>
          <w:rFonts w:cstheme="minorHAnsi"/>
          <w:sz w:val="22"/>
          <w:szCs w:val="22"/>
          <w:lang w:val="sr-Cyrl-RS"/>
        </w:rPr>
        <w:t xml:space="preserve"> Српске</w:t>
      </w:r>
      <w:r w:rsidRPr="00D8009A">
        <w:rPr>
          <w:rFonts w:cstheme="minorHAnsi"/>
          <w:sz w:val="22"/>
          <w:szCs w:val="22"/>
          <w:lang w:val="sr-Cyrl-RS"/>
        </w:rPr>
        <w:t xml:space="preserve"> са међународним и европским системом високог образовања,</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 xml:space="preserve">развој система обезбјеђења квалитета високог образовања у складу са Стандардима и смјерницама за обезбјеђење квалитета у </w:t>
      </w:r>
      <w:r w:rsidR="0090094B">
        <w:rPr>
          <w:rFonts w:cstheme="minorHAnsi"/>
          <w:sz w:val="22"/>
          <w:szCs w:val="22"/>
          <w:lang w:val="sr-Cyrl-RS"/>
        </w:rPr>
        <w:t>Е</w:t>
      </w:r>
      <w:r w:rsidRPr="00D8009A">
        <w:rPr>
          <w:rFonts w:cstheme="minorHAnsi"/>
          <w:sz w:val="22"/>
          <w:szCs w:val="22"/>
          <w:lang w:val="sr-Cyrl-RS"/>
        </w:rPr>
        <w:t>вропском простору високог образовања,</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почетну акредитацију, акредитацију и тематско вредновање високошколских установа и студијских програма,</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 xml:space="preserve">вођење Регистра акредитованих високошколских установа и студијских програма, </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признавање страних високошколских квалификација у сврху општег приступа тржишту рада,</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развој и примјену квалификационог оквира Републике</w:t>
      </w:r>
      <w:r>
        <w:rPr>
          <w:rFonts w:cstheme="minorHAnsi"/>
          <w:sz w:val="22"/>
          <w:szCs w:val="22"/>
          <w:lang w:val="sr-Cyrl-RS"/>
        </w:rPr>
        <w:t xml:space="preserve"> Српске</w:t>
      </w:r>
      <w:r w:rsidRPr="00D8009A">
        <w:rPr>
          <w:rFonts w:cstheme="minorHAnsi"/>
          <w:sz w:val="22"/>
          <w:szCs w:val="22"/>
          <w:lang w:val="sr-Cyrl-RS"/>
        </w:rPr>
        <w:t xml:space="preserve"> и повезивање са Европским оквиром квалификација, </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 xml:space="preserve">доношење стандарда за почетну акредитацију и стандарда за акредитацију високошколских установа и студијских програма, </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учешће у изради, праћењу и спровођењу стратегија и општих аката у области науке и високог образовања,</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 xml:space="preserve">прикупљање и обраду података о систему високог образовања и другим системима с којима је високо образовање повезано, </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подстицање научноистраживачког рада свих заинтересованих страна у области високог образовања,</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 xml:space="preserve">сарадњу са међународним организацијама, тијелима и институцијама надлежним за високо образовање и обезбјеђење квалитета, </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представљање Републике</w:t>
      </w:r>
      <w:r>
        <w:rPr>
          <w:rFonts w:cstheme="minorHAnsi"/>
          <w:sz w:val="22"/>
          <w:szCs w:val="22"/>
          <w:lang w:val="sr-Cyrl-RS"/>
        </w:rPr>
        <w:t xml:space="preserve"> Српске</w:t>
      </w:r>
      <w:r w:rsidRPr="00D8009A">
        <w:rPr>
          <w:rFonts w:cstheme="minorHAnsi"/>
          <w:sz w:val="22"/>
          <w:szCs w:val="22"/>
          <w:lang w:val="sr-Cyrl-RS"/>
        </w:rPr>
        <w:t xml:space="preserve"> на међународним конференцијама, скуповима, у међународним организацијама, мрежама, тијелима и удружењима у оквиру своје надлежности, </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учешће у реализацији пројеката из своје надлежности финансираних од стране међународних финансијских организација,</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пружање информација путем медија и других видова информисања о свом раду,</w:t>
      </w:r>
    </w:p>
    <w:p w:rsidR="00D8009A" w:rsidRPr="00D8009A" w:rsidRDefault="00D8009A" w:rsidP="00FC7CC5">
      <w:pPr>
        <w:numPr>
          <w:ilvl w:val="0"/>
          <w:numId w:val="21"/>
        </w:numPr>
        <w:tabs>
          <w:tab w:val="left" w:pos="1134"/>
        </w:tabs>
        <w:ind w:left="0" w:firstLine="709"/>
        <w:jc w:val="both"/>
        <w:rPr>
          <w:rFonts w:cstheme="minorHAnsi"/>
          <w:sz w:val="22"/>
          <w:szCs w:val="22"/>
          <w:lang w:val="sr-Cyrl-RS"/>
        </w:rPr>
      </w:pPr>
      <w:r w:rsidRPr="00D8009A">
        <w:rPr>
          <w:rFonts w:cstheme="minorHAnsi"/>
          <w:sz w:val="22"/>
          <w:szCs w:val="22"/>
          <w:lang w:val="sr-Cyrl-RS"/>
        </w:rPr>
        <w:t>обављање и других послова у складу са законом, прописима из области високог образовања и Статутом.</w:t>
      </w:r>
    </w:p>
    <w:p w:rsidR="00D8009A" w:rsidRPr="007C47AD" w:rsidRDefault="00D8009A" w:rsidP="007C47AD">
      <w:pPr>
        <w:spacing w:line="276" w:lineRule="auto"/>
        <w:jc w:val="both"/>
        <w:rPr>
          <w:rFonts w:cstheme="minorHAnsi"/>
          <w:sz w:val="8"/>
          <w:szCs w:val="8"/>
          <w:lang w:val="sr-Cyrl-RS"/>
        </w:rPr>
      </w:pPr>
    </w:p>
    <w:p w:rsidR="00131597" w:rsidRPr="00131597" w:rsidRDefault="00131597" w:rsidP="00C55252">
      <w:pPr>
        <w:jc w:val="both"/>
        <w:rPr>
          <w:rFonts w:eastAsiaTheme="minorEastAsia" w:cstheme="minorHAnsi"/>
          <w:sz w:val="16"/>
          <w:szCs w:val="16"/>
          <w:lang w:val="sr-Cyrl-RS" w:eastAsia="bs-Latn-BA"/>
        </w:rPr>
      </w:pPr>
    </w:p>
    <w:p w:rsidR="00637F6E" w:rsidRPr="00637F6E" w:rsidRDefault="00637F6E" w:rsidP="0090094B">
      <w:pPr>
        <w:spacing w:after="240" w:line="276" w:lineRule="auto"/>
        <w:jc w:val="both"/>
        <w:rPr>
          <w:rFonts w:eastAsia="Calibri" w:cstheme="minorHAnsi"/>
          <w:color w:val="FF0000"/>
          <w:sz w:val="22"/>
          <w:szCs w:val="22"/>
          <w:lang w:val="sr-Cyrl-BA" w:eastAsia="en-GB"/>
        </w:rPr>
      </w:pPr>
      <w:r w:rsidRPr="00637F6E">
        <w:rPr>
          <w:rFonts w:eastAsiaTheme="minorEastAsia" w:cstheme="minorHAnsi"/>
          <w:sz w:val="22"/>
          <w:szCs w:val="22"/>
          <w:lang w:val="sr-Cyrl-RS" w:eastAsia="bs-Latn-BA"/>
        </w:rPr>
        <w:t>Извјештај о раду Агенције</w:t>
      </w:r>
      <w:r w:rsidR="0090094B">
        <w:rPr>
          <w:rFonts w:eastAsiaTheme="minorEastAsia" w:cstheme="minorHAnsi"/>
          <w:sz w:val="22"/>
          <w:szCs w:val="22"/>
          <w:lang w:val="sr-Cyrl-RS" w:eastAsia="bs-Latn-BA"/>
        </w:rPr>
        <w:t xml:space="preserve"> за 2024. годину</w:t>
      </w:r>
      <w:r w:rsidRPr="00637F6E">
        <w:rPr>
          <w:rFonts w:eastAsiaTheme="minorEastAsia" w:cstheme="minorHAnsi"/>
          <w:sz w:val="22"/>
          <w:szCs w:val="22"/>
          <w:lang w:val="sr-Cyrl-RS" w:eastAsia="bs-Latn-BA"/>
        </w:rPr>
        <w:t xml:space="preserve"> је сачињен у складу са Програмом рада Агенције за 2024. годину. Влада Републике Српске је на </w:t>
      </w:r>
      <w:r w:rsidRPr="00637F6E">
        <w:rPr>
          <w:rFonts w:eastAsiaTheme="minorEastAsia" w:cstheme="minorHAnsi"/>
          <w:sz w:val="22"/>
          <w:szCs w:val="22"/>
          <w:lang w:eastAsia="bs-Latn-BA"/>
        </w:rPr>
        <w:t>63</w:t>
      </w:r>
      <w:r w:rsidRPr="00637F6E">
        <w:rPr>
          <w:rFonts w:eastAsiaTheme="minorEastAsia" w:cstheme="minorHAnsi"/>
          <w:sz w:val="22"/>
          <w:szCs w:val="22"/>
          <w:lang w:val="sr-Cyrl-RS" w:eastAsia="bs-Latn-BA"/>
        </w:rPr>
        <w:t xml:space="preserve">. сједници одржаној </w:t>
      </w:r>
      <w:r w:rsidRPr="00637F6E">
        <w:rPr>
          <w:rFonts w:eastAsiaTheme="minorEastAsia" w:cstheme="minorHAnsi"/>
          <w:sz w:val="22"/>
          <w:szCs w:val="22"/>
          <w:lang w:eastAsia="bs-Latn-BA"/>
        </w:rPr>
        <w:t>29</w:t>
      </w:r>
      <w:r w:rsidRPr="00637F6E">
        <w:rPr>
          <w:rFonts w:eastAsiaTheme="minorEastAsia" w:cstheme="minorHAnsi"/>
          <w:sz w:val="22"/>
          <w:szCs w:val="22"/>
          <w:lang w:val="sr-Cyrl-RS" w:eastAsia="bs-Latn-BA"/>
        </w:rPr>
        <w:t>.</w:t>
      </w:r>
      <w:r w:rsidRPr="00637F6E">
        <w:rPr>
          <w:rFonts w:eastAsiaTheme="minorEastAsia" w:cstheme="minorHAnsi"/>
          <w:sz w:val="22"/>
          <w:szCs w:val="22"/>
          <w:lang w:eastAsia="bs-Latn-BA"/>
        </w:rPr>
        <w:t>3</w:t>
      </w:r>
      <w:r w:rsidRPr="00637F6E">
        <w:rPr>
          <w:rFonts w:eastAsiaTheme="minorEastAsia" w:cstheme="minorHAnsi"/>
          <w:sz w:val="22"/>
          <w:szCs w:val="22"/>
          <w:lang w:val="sr-Cyrl-RS" w:eastAsia="bs-Latn-BA"/>
        </w:rPr>
        <w:t>.202</w:t>
      </w:r>
      <w:r w:rsidRPr="00637F6E">
        <w:rPr>
          <w:rFonts w:eastAsiaTheme="minorEastAsia" w:cstheme="minorHAnsi"/>
          <w:sz w:val="22"/>
          <w:szCs w:val="22"/>
          <w:lang w:eastAsia="bs-Latn-BA"/>
        </w:rPr>
        <w:t>4</w:t>
      </w:r>
      <w:r w:rsidRPr="00637F6E">
        <w:rPr>
          <w:rFonts w:eastAsiaTheme="minorEastAsia" w:cstheme="minorHAnsi"/>
          <w:sz w:val="22"/>
          <w:szCs w:val="22"/>
          <w:lang w:val="sr-Cyrl-RS" w:eastAsia="bs-Latn-BA"/>
        </w:rPr>
        <w:t>. године, дала сагласност на Програм рада са финансијским планом Агенције за 202</w:t>
      </w:r>
      <w:r w:rsidRPr="00637F6E">
        <w:rPr>
          <w:rFonts w:eastAsiaTheme="minorEastAsia" w:cstheme="minorHAnsi"/>
          <w:sz w:val="22"/>
          <w:szCs w:val="22"/>
          <w:lang w:eastAsia="bs-Latn-BA"/>
        </w:rPr>
        <w:t>4</w:t>
      </w:r>
      <w:r w:rsidRPr="00637F6E">
        <w:rPr>
          <w:rFonts w:eastAsiaTheme="minorEastAsia" w:cstheme="minorHAnsi"/>
          <w:sz w:val="22"/>
          <w:szCs w:val="22"/>
          <w:lang w:val="sr-Cyrl-RS" w:eastAsia="bs-Latn-BA"/>
        </w:rPr>
        <w:t xml:space="preserve">. годину, број: 04/1-012-2- </w:t>
      </w:r>
      <w:r w:rsidRPr="00637F6E">
        <w:rPr>
          <w:rFonts w:eastAsiaTheme="minorEastAsia" w:cstheme="minorHAnsi"/>
          <w:sz w:val="22"/>
          <w:szCs w:val="22"/>
          <w:lang w:eastAsia="bs-Latn-BA"/>
        </w:rPr>
        <w:t>1048</w:t>
      </w:r>
      <w:r w:rsidRPr="00637F6E">
        <w:rPr>
          <w:rFonts w:eastAsiaTheme="minorEastAsia" w:cstheme="minorHAnsi"/>
          <w:sz w:val="22"/>
          <w:szCs w:val="22"/>
          <w:lang w:val="sr-Cyrl-RS" w:eastAsia="bs-Latn-BA"/>
        </w:rPr>
        <w:t>/2</w:t>
      </w:r>
      <w:r w:rsidRPr="00637F6E">
        <w:rPr>
          <w:rFonts w:eastAsiaTheme="minorEastAsia" w:cstheme="minorHAnsi"/>
          <w:sz w:val="22"/>
          <w:szCs w:val="22"/>
          <w:lang w:eastAsia="bs-Latn-BA"/>
        </w:rPr>
        <w:t>4</w:t>
      </w:r>
      <w:r w:rsidRPr="00637F6E">
        <w:rPr>
          <w:rFonts w:eastAsiaTheme="minorEastAsia" w:cstheme="minorHAnsi"/>
          <w:sz w:val="22"/>
          <w:szCs w:val="22"/>
          <w:lang w:val="sr-Cyrl-RS" w:eastAsia="bs-Latn-BA"/>
        </w:rPr>
        <w:t xml:space="preserve"> од 2</w:t>
      </w:r>
      <w:r w:rsidRPr="00637F6E">
        <w:rPr>
          <w:rFonts w:eastAsiaTheme="minorEastAsia" w:cstheme="minorHAnsi"/>
          <w:sz w:val="22"/>
          <w:szCs w:val="22"/>
          <w:lang w:eastAsia="bs-Latn-BA"/>
        </w:rPr>
        <w:t>9</w:t>
      </w:r>
      <w:r w:rsidRPr="00637F6E">
        <w:rPr>
          <w:rFonts w:eastAsiaTheme="minorEastAsia" w:cstheme="minorHAnsi"/>
          <w:sz w:val="22"/>
          <w:szCs w:val="22"/>
          <w:lang w:val="sr-Cyrl-RS" w:eastAsia="bs-Latn-BA"/>
        </w:rPr>
        <w:t>.</w:t>
      </w:r>
      <w:r w:rsidRPr="00637F6E">
        <w:rPr>
          <w:rFonts w:eastAsiaTheme="minorEastAsia" w:cstheme="minorHAnsi"/>
          <w:sz w:val="22"/>
          <w:szCs w:val="22"/>
          <w:lang w:eastAsia="bs-Latn-BA"/>
        </w:rPr>
        <w:t>3</w:t>
      </w:r>
      <w:r w:rsidRPr="00637F6E">
        <w:rPr>
          <w:rFonts w:eastAsiaTheme="minorEastAsia" w:cstheme="minorHAnsi"/>
          <w:sz w:val="22"/>
          <w:szCs w:val="22"/>
          <w:lang w:val="sr-Cyrl-RS" w:eastAsia="bs-Latn-BA"/>
        </w:rPr>
        <w:t>.202</w:t>
      </w:r>
      <w:r w:rsidRPr="00637F6E">
        <w:rPr>
          <w:rFonts w:eastAsiaTheme="minorEastAsia" w:cstheme="minorHAnsi"/>
          <w:sz w:val="22"/>
          <w:szCs w:val="22"/>
          <w:lang w:eastAsia="bs-Latn-BA"/>
        </w:rPr>
        <w:t>4</w:t>
      </w:r>
      <w:r w:rsidRPr="00637F6E">
        <w:rPr>
          <w:rFonts w:eastAsiaTheme="minorEastAsia" w:cstheme="minorHAnsi"/>
          <w:sz w:val="22"/>
          <w:szCs w:val="22"/>
          <w:lang w:val="sr-Cyrl-RS" w:eastAsia="bs-Latn-BA"/>
        </w:rPr>
        <w:t xml:space="preserve">. године. </w:t>
      </w:r>
    </w:p>
    <w:p w:rsidR="00637F6E" w:rsidRPr="0090094B" w:rsidRDefault="00637F6E" w:rsidP="00637F6E">
      <w:pPr>
        <w:spacing w:line="276" w:lineRule="auto"/>
        <w:jc w:val="both"/>
        <w:rPr>
          <w:rFonts w:eastAsia="Calibri" w:cstheme="minorHAnsi"/>
          <w:sz w:val="22"/>
          <w:szCs w:val="22"/>
          <w:lang w:val="sr-Cyrl-BA" w:eastAsia="en-GB"/>
        </w:rPr>
      </w:pPr>
      <w:r w:rsidRPr="00637F6E">
        <w:rPr>
          <w:rFonts w:eastAsia="Calibri" w:cstheme="minorHAnsi"/>
          <w:sz w:val="22"/>
          <w:szCs w:val="22"/>
          <w:lang w:val="sr-Cyrl-BA" w:eastAsia="en-GB"/>
        </w:rPr>
        <w:t>У складу са чланом 15. став 1. Закона</w:t>
      </w:r>
      <w:r w:rsidRPr="00637F6E">
        <w:rPr>
          <w:rFonts w:cstheme="minorHAnsi"/>
          <w:sz w:val="22"/>
          <w:szCs w:val="22"/>
          <w:lang w:val="sr-Cyrl-RS"/>
        </w:rPr>
        <w:t xml:space="preserve"> о о Агенцији за високо образовање Републике Српске</w:t>
      </w:r>
      <w:r w:rsidRPr="00637F6E">
        <w:rPr>
          <w:rFonts w:eastAsia="Calibri" w:cstheme="minorHAnsi"/>
          <w:sz w:val="22"/>
          <w:szCs w:val="22"/>
          <w:lang w:val="sr-Cyrl-BA" w:eastAsia="en-GB"/>
        </w:rPr>
        <w:t xml:space="preserve">, Агенција подноси Народној скупштини Републике Српске годишњи извјештај о раду са  финансијским извјештајем о пословању најкасније до 30. јуна текуће године за претходну годину. </w:t>
      </w:r>
      <w:r w:rsidR="0090094B">
        <w:rPr>
          <w:rFonts w:eastAsia="Calibri" w:cstheme="minorHAnsi"/>
          <w:sz w:val="22"/>
          <w:szCs w:val="22"/>
          <w:lang w:val="sr-Cyrl-BA" w:eastAsia="en-GB"/>
        </w:rPr>
        <w:t xml:space="preserve"> </w:t>
      </w:r>
      <w:r w:rsidRPr="00637F6E">
        <w:rPr>
          <w:rFonts w:eastAsia="Calibri" w:cstheme="minorHAnsi"/>
          <w:sz w:val="22"/>
          <w:szCs w:val="22"/>
          <w:lang w:val="sr-Cyrl-BA" w:eastAsia="en-GB"/>
        </w:rPr>
        <w:t>На</w:t>
      </w:r>
      <w:r w:rsidRPr="00637F6E">
        <w:rPr>
          <w:rFonts w:eastAsia="Calibri" w:cstheme="minorHAnsi"/>
          <w:sz w:val="22"/>
          <w:szCs w:val="22"/>
          <w:lang w:val="sr-Latn-RS" w:eastAsia="en-GB"/>
        </w:rPr>
        <w:t xml:space="preserve"> </w:t>
      </w:r>
      <w:r w:rsidRPr="00637F6E">
        <w:rPr>
          <w:rFonts w:eastAsia="Calibri" w:cstheme="minorHAnsi"/>
          <w:sz w:val="22"/>
          <w:szCs w:val="22"/>
          <w:lang w:val="sr-Cyrl-RS" w:eastAsia="en-GB"/>
        </w:rPr>
        <w:t>Десетој</w:t>
      </w:r>
      <w:r w:rsidRPr="00637F6E">
        <w:rPr>
          <w:rFonts w:eastAsia="Calibri" w:cstheme="minorHAnsi"/>
          <w:sz w:val="22"/>
          <w:szCs w:val="22"/>
          <w:lang w:val="sr-Cyrl-BA" w:eastAsia="en-GB"/>
        </w:rPr>
        <w:t xml:space="preserve"> редовној сједници Народне скупштине Републике Српске одржаној </w:t>
      </w:r>
      <w:r w:rsidRPr="00637F6E">
        <w:rPr>
          <w:rFonts w:eastAsia="Calibri" w:cstheme="minorHAnsi"/>
          <w:sz w:val="22"/>
          <w:szCs w:val="22"/>
          <w:lang w:val="sr-Cyrl-RS" w:eastAsia="en-GB"/>
        </w:rPr>
        <w:t>4</w:t>
      </w:r>
      <w:r w:rsidRPr="00637F6E">
        <w:rPr>
          <w:rFonts w:eastAsia="Calibri" w:cstheme="minorHAnsi"/>
          <w:sz w:val="22"/>
          <w:szCs w:val="22"/>
          <w:lang w:val="en-GB" w:eastAsia="en-GB"/>
        </w:rPr>
        <w:t>.7</w:t>
      </w:r>
      <w:r w:rsidRPr="00637F6E">
        <w:rPr>
          <w:rFonts w:eastAsia="Calibri" w:cstheme="minorHAnsi"/>
          <w:sz w:val="22"/>
          <w:szCs w:val="22"/>
          <w:lang w:val="sr-Cyrl-BA" w:eastAsia="en-GB"/>
        </w:rPr>
        <w:t>.2024. године је разматран Извјештај о раду Агенције за 2023. годину. Народна скупштина Републике Српске</w:t>
      </w:r>
      <w:r w:rsidRPr="00637F6E">
        <w:rPr>
          <w:rFonts w:eastAsia="Calibri" w:cstheme="minorHAnsi"/>
          <w:color w:val="FF0000"/>
          <w:sz w:val="22"/>
          <w:szCs w:val="22"/>
          <w:lang w:val="sr-Cyrl-BA" w:eastAsia="en-GB"/>
        </w:rPr>
        <w:t xml:space="preserve"> </w:t>
      </w:r>
      <w:r w:rsidRPr="00637F6E">
        <w:rPr>
          <w:rFonts w:eastAsia="Calibri" w:cstheme="minorHAnsi"/>
          <w:sz w:val="22"/>
          <w:szCs w:val="22"/>
          <w:lang w:val="sr-Cyrl-BA" w:eastAsia="en-GB"/>
        </w:rPr>
        <w:t>донијела је Закључак о усвајању Извјештаја о раду Агенције за високо образовање Републике Српске за 2023.</w:t>
      </w:r>
      <w:r>
        <w:rPr>
          <w:rFonts w:eastAsia="Calibri" w:cstheme="minorHAnsi"/>
          <w:sz w:val="22"/>
          <w:szCs w:val="22"/>
          <w:lang w:val="sr-Cyrl-RS" w:eastAsia="en-GB"/>
        </w:rPr>
        <w:t xml:space="preserve"> годину</w:t>
      </w:r>
      <w:r w:rsidRPr="00637F6E">
        <w:rPr>
          <w:rFonts w:eastAsia="Calibri" w:cstheme="minorHAnsi"/>
          <w:sz w:val="22"/>
          <w:szCs w:val="22"/>
          <w:lang w:val="sr-Cyrl-BA" w:eastAsia="en-GB"/>
        </w:rPr>
        <w:t xml:space="preserve">, број: 02/1-021-781/24 од </w:t>
      </w:r>
      <w:r w:rsidRPr="00637F6E">
        <w:rPr>
          <w:rFonts w:eastAsia="Calibri" w:cstheme="minorHAnsi"/>
          <w:sz w:val="22"/>
          <w:szCs w:val="22"/>
          <w:lang w:val="sr-Cyrl-RS" w:eastAsia="en-GB"/>
        </w:rPr>
        <w:t>4</w:t>
      </w:r>
      <w:r w:rsidRPr="00637F6E">
        <w:rPr>
          <w:rFonts w:eastAsia="Calibri" w:cstheme="minorHAnsi"/>
          <w:sz w:val="22"/>
          <w:szCs w:val="22"/>
          <w:lang w:val="en-GB" w:eastAsia="en-GB"/>
        </w:rPr>
        <w:t>.7</w:t>
      </w:r>
      <w:r w:rsidRPr="00637F6E">
        <w:rPr>
          <w:rFonts w:eastAsia="Calibri" w:cstheme="minorHAnsi"/>
          <w:sz w:val="22"/>
          <w:szCs w:val="22"/>
          <w:lang w:val="sr-Cyrl-BA" w:eastAsia="en-GB"/>
        </w:rPr>
        <w:t>.2024. године.</w:t>
      </w:r>
      <w:r>
        <w:rPr>
          <w:rFonts w:eastAsia="Calibri" w:cstheme="minorHAnsi"/>
          <w:sz w:val="22"/>
          <w:szCs w:val="22"/>
          <w:lang w:val="sr-Cyrl-BA" w:eastAsia="en-GB"/>
        </w:rPr>
        <w:t xml:space="preserve"> </w:t>
      </w:r>
    </w:p>
    <w:p w:rsidR="00637F6E" w:rsidRPr="0007150F" w:rsidRDefault="00637F6E" w:rsidP="00AF3A1D">
      <w:pPr>
        <w:spacing w:after="240"/>
        <w:rPr>
          <w:rFonts w:ascii="Times New Roman" w:hAnsi="Times New Roman"/>
          <w:lang w:val="sr-Cyrl-BA"/>
        </w:rPr>
      </w:pPr>
    </w:p>
    <w:p w:rsidR="00BA2903" w:rsidRPr="002F712F" w:rsidRDefault="00BA2903" w:rsidP="00FC7CC5">
      <w:pPr>
        <w:pStyle w:val="a"/>
        <w:numPr>
          <w:ilvl w:val="0"/>
          <w:numId w:val="7"/>
        </w:numPr>
        <w:rPr>
          <w:rFonts w:asciiTheme="minorHAnsi" w:hAnsiTheme="minorHAnsi" w:cstheme="minorHAnsi"/>
          <w:color w:val="323E4F" w:themeColor="text2" w:themeShade="BF"/>
        </w:rPr>
      </w:pPr>
      <w:bookmarkStart w:id="2" w:name="_Toc190682505"/>
      <w:r w:rsidRPr="002F712F">
        <w:rPr>
          <w:rFonts w:asciiTheme="minorHAnsi" w:hAnsiTheme="minorHAnsi" w:cstheme="minorHAnsi"/>
          <w:color w:val="323E4F" w:themeColor="text2" w:themeShade="BF"/>
        </w:rPr>
        <w:t>ЗАКОНОДАВНИ ДИО</w:t>
      </w:r>
      <w:bookmarkEnd w:id="2"/>
    </w:p>
    <w:p w:rsidR="007C522C" w:rsidRDefault="007C522C" w:rsidP="00AF3A1D">
      <w:pPr>
        <w:spacing w:after="240"/>
      </w:pPr>
    </w:p>
    <w:p w:rsidR="002E6F68" w:rsidRDefault="002C2A87" w:rsidP="0079572D">
      <w:pPr>
        <w:spacing w:after="240" w:line="276" w:lineRule="auto"/>
        <w:jc w:val="both"/>
        <w:rPr>
          <w:rFonts w:ascii="Times New Roman" w:eastAsia="Times New Roman" w:hAnsi="Times New Roman" w:cs="Times New Roman"/>
          <w:lang w:val="sr-Cyrl-RS"/>
        </w:rPr>
      </w:pPr>
      <w:r w:rsidRPr="002C2A87">
        <w:rPr>
          <w:rFonts w:eastAsia="Calibri" w:cstheme="minorHAnsi"/>
          <w:sz w:val="22"/>
          <w:szCs w:val="22"/>
          <w:lang w:val="sr-Cyrl-BA" w:eastAsia="en-GB"/>
        </w:rPr>
        <w:t xml:space="preserve">На Осмој редовној сједнице Народне скупштине Републике Српске, одржаној </w:t>
      </w:r>
      <w:bookmarkStart w:id="3" w:name="_Hlk135900317"/>
      <w:r w:rsidRPr="002C2A87">
        <w:rPr>
          <w:rFonts w:eastAsia="Calibri" w:cstheme="minorHAnsi"/>
          <w:sz w:val="22"/>
          <w:szCs w:val="22"/>
          <w:lang w:val="sr-Cyrl-BA" w:eastAsia="en-GB"/>
        </w:rPr>
        <w:t>12</w:t>
      </w:r>
      <w:r w:rsidR="0090094B">
        <w:rPr>
          <w:rFonts w:eastAsia="Calibri" w:cstheme="minorHAnsi"/>
          <w:sz w:val="22"/>
          <w:szCs w:val="22"/>
          <w:lang w:val="sr-Cyrl-BA" w:eastAsia="en-GB"/>
        </w:rPr>
        <w:t xml:space="preserve">. - </w:t>
      </w:r>
      <w:r w:rsidRPr="002C2A87">
        <w:rPr>
          <w:rFonts w:eastAsia="Calibri" w:cstheme="minorHAnsi"/>
          <w:sz w:val="22"/>
          <w:szCs w:val="22"/>
          <w:lang w:val="sr-Cyrl-BA" w:eastAsia="en-GB"/>
        </w:rPr>
        <w:t>14. марта 2024. године</w:t>
      </w:r>
      <w:bookmarkEnd w:id="3"/>
      <w:r w:rsidRPr="002C2A87">
        <w:rPr>
          <w:rFonts w:eastAsia="Calibri" w:cstheme="minorHAnsi"/>
          <w:sz w:val="22"/>
          <w:szCs w:val="22"/>
          <w:lang w:val="sr-Cyrl-BA" w:eastAsia="en-GB"/>
        </w:rPr>
        <w:t>,  усвојен је Приједлог закона о Агенцији за високо образовање Репуб</w:t>
      </w:r>
      <w:r w:rsidR="00F230C6">
        <w:rPr>
          <w:rFonts w:eastAsia="Calibri" w:cstheme="minorHAnsi"/>
          <w:sz w:val="22"/>
          <w:szCs w:val="22"/>
          <w:lang w:val="sr-Cyrl-BA" w:eastAsia="en-GB"/>
        </w:rPr>
        <w:t xml:space="preserve">лике Српске, по хитном поступку, који је ступио на снагу у мају 2024. године. </w:t>
      </w:r>
    </w:p>
    <w:p w:rsidR="00E01A2D" w:rsidRDefault="00FB1C6A" w:rsidP="00E01A2D">
      <w:pPr>
        <w:spacing w:after="240" w:line="276" w:lineRule="auto"/>
        <w:jc w:val="both"/>
        <w:rPr>
          <w:rFonts w:eastAsia="Calibri" w:cstheme="minorHAnsi"/>
          <w:sz w:val="22"/>
          <w:szCs w:val="22"/>
          <w:lang w:val="sr-Cyrl-BA" w:eastAsia="en-GB"/>
        </w:rPr>
      </w:pPr>
      <w:r>
        <w:rPr>
          <w:rFonts w:eastAsia="Calibri" w:cstheme="minorHAnsi"/>
          <w:sz w:val="22"/>
          <w:szCs w:val="22"/>
          <w:lang w:val="sr-Cyrl-BA" w:eastAsia="en-GB"/>
        </w:rPr>
        <w:t>Д</w:t>
      </w:r>
      <w:r w:rsidR="00912141" w:rsidRPr="002C2A87">
        <w:rPr>
          <w:rFonts w:eastAsia="Calibri" w:cstheme="minorHAnsi"/>
          <w:sz w:val="22"/>
          <w:szCs w:val="22"/>
          <w:lang w:val="sr-Cyrl-BA" w:eastAsia="en-GB"/>
        </w:rPr>
        <w:t xml:space="preserve">оношење </w:t>
      </w:r>
      <w:r>
        <w:rPr>
          <w:rFonts w:eastAsia="Calibri" w:cstheme="minorHAnsi"/>
          <w:sz w:val="22"/>
          <w:szCs w:val="22"/>
          <w:lang w:val="sr-Cyrl-BA" w:eastAsia="en-GB"/>
        </w:rPr>
        <w:t xml:space="preserve">новог </w:t>
      </w:r>
      <w:r w:rsidR="00912141" w:rsidRPr="002C2A87">
        <w:rPr>
          <w:rFonts w:eastAsia="Calibri" w:cstheme="minorHAnsi"/>
          <w:sz w:val="22"/>
          <w:szCs w:val="22"/>
          <w:lang w:val="sr-Cyrl-BA" w:eastAsia="en-GB"/>
        </w:rPr>
        <w:t xml:space="preserve"> закона </w:t>
      </w:r>
      <w:r>
        <w:rPr>
          <w:rFonts w:eastAsia="Calibri" w:cstheme="minorHAnsi"/>
          <w:sz w:val="22"/>
          <w:szCs w:val="22"/>
          <w:lang w:val="sr-Cyrl-BA" w:eastAsia="en-GB"/>
        </w:rPr>
        <w:t>којим се уређује област обезбјеђења квалитета у високом образовању Републике Српске услиједило је због</w:t>
      </w:r>
      <w:r w:rsidR="00912141" w:rsidRPr="002C2A87">
        <w:rPr>
          <w:rFonts w:eastAsia="Calibri" w:cstheme="minorHAnsi"/>
          <w:sz w:val="22"/>
          <w:szCs w:val="22"/>
          <w:lang w:val="sr-Cyrl-BA" w:eastAsia="en-GB"/>
        </w:rPr>
        <w:t xml:space="preserve"> </w:t>
      </w:r>
      <w:r w:rsidR="005955BE" w:rsidRPr="002C2A87">
        <w:rPr>
          <w:rFonts w:eastAsia="Calibri" w:cstheme="minorHAnsi"/>
          <w:sz w:val="22"/>
          <w:szCs w:val="22"/>
          <w:lang w:val="sr-Cyrl-BA" w:eastAsia="en-GB"/>
        </w:rPr>
        <w:t>потреб</w:t>
      </w:r>
      <w:r>
        <w:rPr>
          <w:rFonts w:eastAsia="Calibri" w:cstheme="minorHAnsi"/>
          <w:sz w:val="22"/>
          <w:szCs w:val="22"/>
          <w:lang w:val="sr-Cyrl-BA" w:eastAsia="en-GB"/>
        </w:rPr>
        <w:t>е да се</w:t>
      </w:r>
      <w:r w:rsidRPr="00FB1C6A">
        <w:rPr>
          <w:rFonts w:cstheme="minorHAnsi"/>
          <w:lang w:val="sr-Cyrl-BA"/>
        </w:rPr>
        <w:t xml:space="preserve"> </w:t>
      </w:r>
      <w:r w:rsidRPr="00FB1C6A">
        <w:rPr>
          <w:rFonts w:eastAsia="Calibri" w:cstheme="minorHAnsi"/>
          <w:sz w:val="22"/>
          <w:szCs w:val="22"/>
          <w:lang w:val="sr-Cyrl-BA" w:eastAsia="en-GB"/>
        </w:rPr>
        <w:t>прецизније и детаљније регулишу поједине одредбе важећег закона, као и да се  дефинишу проширене надлежности Агенције у области развоја и примјене оквира квалификација Републике Српске и повезивања са Европским оквиром квалификација.</w:t>
      </w:r>
      <w:r>
        <w:rPr>
          <w:rFonts w:eastAsia="Calibri" w:cstheme="minorHAnsi"/>
          <w:sz w:val="22"/>
          <w:szCs w:val="22"/>
          <w:lang w:val="sr-Cyrl-BA" w:eastAsia="en-GB"/>
        </w:rPr>
        <w:t xml:space="preserve"> </w:t>
      </w:r>
      <w:r w:rsidR="002C2A87" w:rsidRPr="00FB1C6A">
        <w:rPr>
          <w:rFonts w:eastAsia="Calibri" w:cstheme="minorHAnsi"/>
          <w:sz w:val="22"/>
          <w:szCs w:val="22"/>
          <w:lang w:val="sr-Cyrl-BA" w:eastAsia="en-GB"/>
        </w:rPr>
        <w:t xml:space="preserve">Прецизиране су одредбе које се односе на </w:t>
      </w:r>
      <w:r w:rsidR="0079572D">
        <w:rPr>
          <w:rFonts w:eastAsia="Calibri" w:cstheme="minorHAnsi"/>
          <w:sz w:val="22"/>
          <w:szCs w:val="22"/>
          <w:lang w:val="sr-Cyrl-BA" w:eastAsia="en-GB"/>
        </w:rPr>
        <w:t xml:space="preserve">систем </w:t>
      </w:r>
      <w:r w:rsidR="002C2A87" w:rsidRPr="00FB1C6A">
        <w:rPr>
          <w:rFonts w:eastAsia="Calibri" w:cstheme="minorHAnsi"/>
          <w:sz w:val="22"/>
          <w:szCs w:val="22"/>
          <w:lang w:val="sr-Cyrl-BA" w:eastAsia="en-GB"/>
        </w:rPr>
        <w:t>унутрашње</w:t>
      </w:r>
      <w:r w:rsidR="0079572D">
        <w:rPr>
          <w:rFonts w:eastAsia="Calibri" w:cstheme="minorHAnsi"/>
          <w:sz w:val="22"/>
          <w:szCs w:val="22"/>
          <w:lang w:val="sr-Cyrl-BA" w:eastAsia="en-GB"/>
        </w:rPr>
        <w:t>г</w:t>
      </w:r>
      <w:r w:rsidR="002C2A87" w:rsidRPr="00FB1C6A">
        <w:rPr>
          <w:rFonts w:eastAsia="Calibri" w:cstheme="minorHAnsi"/>
          <w:sz w:val="22"/>
          <w:szCs w:val="22"/>
          <w:lang w:val="sr-Cyrl-BA" w:eastAsia="en-GB"/>
        </w:rPr>
        <w:t xml:space="preserve"> обезбјеђења</w:t>
      </w:r>
      <w:r w:rsidRPr="00FB1C6A">
        <w:rPr>
          <w:rFonts w:eastAsia="Calibri" w:cstheme="minorHAnsi"/>
          <w:sz w:val="22"/>
          <w:szCs w:val="22"/>
          <w:lang w:val="sr-Cyrl-BA" w:eastAsia="en-GB"/>
        </w:rPr>
        <w:t xml:space="preserve"> квалитета </w:t>
      </w:r>
      <w:r w:rsidR="002C2A87" w:rsidRPr="00FB1C6A">
        <w:rPr>
          <w:rFonts w:eastAsia="Calibri" w:cstheme="minorHAnsi"/>
          <w:sz w:val="22"/>
          <w:szCs w:val="22"/>
          <w:lang w:val="sr-Cyrl-BA" w:eastAsia="en-GB"/>
        </w:rPr>
        <w:t xml:space="preserve">што ће високошколским установама помоћи у успостављању и унапређивању овог система. </w:t>
      </w:r>
      <w:r>
        <w:rPr>
          <w:rFonts w:eastAsia="Calibri" w:cstheme="minorHAnsi"/>
          <w:sz w:val="22"/>
          <w:szCs w:val="22"/>
          <w:lang w:val="sr-Cyrl-BA" w:eastAsia="en-GB"/>
        </w:rPr>
        <w:t xml:space="preserve">Такође су </w:t>
      </w:r>
      <w:r w:rsidRPr="00FB1C6A">
        <w:rPr>
          <w:rFonts w:eastAsia="Calibri" w:cstheme="minorHAnsi"/>
          <w:sz w:val="22"/>
          <w:szCs w:val="22"/>
          <w:lang w:val="sr-Cyrl-BA" w:eastAsia="en-GB"/>
        </w:rPr>
        <w:t xml:space="preserve">прецизиране </w:t>
      </w:r>
      <w:r w:rsidR="002C2A87" w:rsidRPr="00FB1C6A">
        <w:rPr>
          <w:rFonts w:eastAsia="Calibri" w:cstheme="minorHAnsi"/>
          <w:sz w:val="22"/>
          <w:szCs w:val="22"/>
          <w:lang w:val="sr-Cyrl-BA" w:eastAsia="en-GB"/>
        </w:rPr>
        <w:t xml:space="preserve">и одредбе у којим случајевима се спроводи почетна акредитација студијског програма, а </w:t>
      </w:r>
      <w:r w:rsidRPr="00FB1C6A">
        <w:rPr>
          <w:rFonts w:eastAsia="Calibri" w:cstheme="minorHAnsi"/>
          <w:sz w:val="22"/>
          <w:szCs w:val="22"/>
          <w:lang w:val="sr-Cyrl-BA" w:eastAsia="en-GB"/>
        </w:rPr>
        <w:t>што</w:t>
      </w:r>
      <w:r w:rsidR="002C2A87" w:rsidRPr="00FB1C6A">
        <w:rPr>
          <w:rFonts w:eastAsia="Calibri" w:cstheme="minorHAnsi"/>
          <w:sz w:val="22"/>
          <w:szCs w:val="22"/>
          <w:lang w:val="sr-Cyrl-BA" w:eastAsia="en-GB"/>
        </w:rPr>
        <w:t xml:space="preserve"> у претходном законодавном оквиру није било довољно прецизирано и изазивало је недоумице и различита тумачења.</w:t>
      </w:r>
      <w:r w:rsidR="0072752B">
        <w:rPr>
          <w:rFonts w:eastAsia="Calibri" w:cstheme="minorHAnsi"/>
          <w:sz w:val="22"/>
          <w:szCs w:val="22"/>
          <w:lang w:val="en-GB" w:eastAsia="en-GB"/>
        </w:rPr>
        <w:t xml:space="preserve"> </w:t>
      </w:r>
      <w:r w:rsidR="0072752B">
        <w:rPr>
          <w:rFonts w:eastAsia="Calibri" w:cstheme="minorHAnsi"/>
          <w:sz w:val="22"/>
          <w:szCs w:val="22"/>
          <w:lang w:val="sr-Cyrl-BA" w:eastAsia="en-GB"/>
        </w:rPr>
        <w:t xml:space="preserve">Дефинисане су и </w:t>
      </w:r>
      <w:r w:rsidR="002C2A87" w:rsidRPr="0072752B">
        <w:rPr>
          <w:rFonts w:eastAsia="Calibri" w:cstheme="minorHAnsi"/>
          <w:sz w:val="22"/>
          <w:szCs w:val="22"/>
          <w:lang w:val="sr-Cyrl-BA" w:eastAsia="en-GB"/>
        </w:rPr>
        <w:t>референтн</w:t>
      </w:r>
      <w:r w:rsidR="002435A4">
        <w:rPr>
          <w:rFonts w:eastAsia="Calibri" w:cstheme="minorHAnsi"/>
          <w:sz w:val="22"/>
          <w:szCs w:val="22"/>
          <w:lang w:val="sr-Cyrl-BA" w:eastAsia="en-GB"/>
        </w:rPr>
        <w:t>е</w:t>
      </w:r>
      <w:r w:rsidR="002C2A87" w:rsidRPr="0072752B">
        <w:rPr>
          <w:rFonts w:eastAsia="Calibri" w:cstheme="minorHAnsi"/>
          <w:sz w:val="22"/>
          <w:szCs w:val="22"/>
          <w:lang w:val="sr-Cyrl-BA" w:eastAsia="en-GB"/>
        </w:rPr>
        <w:t xml:space="preserve"> вриједности за акредитацију заједничког студија</w:t>
      </w:r>
      <w:r w:rsidR="0072752B">
        <w:rPr>
          <w:rFonts w:eastAsia="Calibri" w:cstheme="minorHAnsi"/>
          <w:sz w:val="22"/>
          <w:szCs w:val="22"/>
          <w:lang w:val="sr-Cyrl-BA" w:eastAsia="en-GB"/>
        </w:rPr>
        <w:t xml:space="preserve"> и прописано</w:t>
      </w:r>
      <w:r w:rsidR="002C2A87" w:rsidRPr="0072752B">
        <w:rPr>
          <w:rFonts w:eastAsia="Calibri" w:cstheme="minorHAnsi"/>
          <w:sz w:val="22"/>
          <w:szCs w:val="22"/>
          <w:lang w:val="sr-Cyrl-BA" w:eastAsia="en-GB"/>
        </w:rPr>
        <w:t xml:space="preserve"> је да се почетна акредитација заједничког студија спроводи у односу на стандарде које прописује Европски приступ обезбјеђивању квалитета заједничких студија, а </w:t>
      </w:r>
      <w:r w:rsidR="0072752B">
        <w:rPr>
          <w:rFonts w:eastAsia="Calibri" w:cstheme="minorHAnsi"/>
          <w:sz w:val="22"/>
          <w:szCs w:val="22"/>
          <w:lang w:val="sr-Cyrl-BA" w:eastAsia="en-GB"/>
        </w:rPr>
        <w:t xml:space="preserve">који </w:t>
      </w:r>
      <w:r w:rsidR="0079572D">
        <w:rPr>
          <w:rFonts w:eastAsia="Calibri" w:cstheme="minorHAnsi"/>
          <w:sz w:val="22"/>
          <w:szCs w:val="22"/>
          <w:lang w:val="sr-Cyrl-BA" w:eastAsia="en-GB"/>
        </w:rPr>
        <w:t>ће бити</w:t>
      </w:r>
      <w:r w:rsidR="0072752B">
        <w:rPr>
          <w:rFonts w:eastAsia="Calibri" w:cstheme="minorHAnsi"/>
          <w:sz w:val="22"/>
          <w:szCs w:val="22"/>
          <w:lang w:val="sr-Cyrl-BA" w:eastAsia="en-GB"/>
        </w:rPr>
        <w:t xml:space="preserve"> </w:t>
      </w:r>
      <w:r w:rsidR="002C2A87" w:rsidRPr="0072752B">
        <w:rPr>
          <w:rFonts w:eastAsia="Calibri" w:cstheme="minorHAnsi"/>
          <w:sz w:val="22"/>
          <w:szCs w:val="22"/>
          <w:lang w:val="sr-Cyrl-BA" w:eastAsia="en-GB"/>
        </w:rPr>
        <w:t>саставни дио Стандарда за почетну акредитацију.</w:t>
      </w:r>
      <w:r w:rsidR="002435A4">
        <w:rPr>
          <w:rFonts w:eastAsia="Calibri" w:cstheme="minorHAnsi"/>
          <w:sz w:val="22"/>
          <w:szCs w:val="22"/>
          <w:lang w:val="sr-Cyrl-BA" w:eastAsia="en-GB"/>
        </w:rPr>
        <w:t xml:space="preserve"> </w:t>
      </w:r>
      <w:r w:rsidR="002C2A87" w:rsidRPr="002435A4">
        <w:rPr>
          <w:rFonts w:eastAsia="Calibri" w:cstheme="minorHAnsi"/>
          <w:sz w:val="22"/>
          <w:szCs w:val="22"/>
          <w:lang w:val="sr-Cyrl-BA" w:eastAsia="en-GB"/>
        </w:rPr>
        <w:t xml:space="preserve">Прецизиране су и допуњене одредбе које се односе на фазе поступка акредитације  на начин да се акредитација спроводи у четири фазе (умјесто досадашње три), односно обухваћена је и фаза накнадних активности, а </w:t>
      </w:r>
      <w:r w:rsidR="002435A4">
        <w:rPr>
          <w:rFonts w:eastAsia="Calibri" w:cstheme="minorHAnsi"/>
          <w:sz w:val="22"/>
          <w:szCs w:val="22"/>
          <w:lang w:val="sr-Cyrl-BA" w:eastAsia="en-GB"/>
        </w:rPr>
        <w:t>ш</w:t>
      </w:r>
      <w:r w:rsidR="002C2A87" w:rsidRPr="002435A4">
        <w:rPr>
          <w:rFonts w:eastAsia="Calibri" w:cstheme="minorHAnsi"/>
          <w:sz w:val="22"/>
          <w:szCs w:val="22"/>
          <w:lang w:val="sr-Cyrl-BA" w:eastAsia="en-GB"/>
        </w:rPr>
        <w:t xml:space="preserve">то је посебно важно у контексту захтјева </w:t>
      </w:r>
      <w:r w:rsidR="002247BB">
        <w:rPr>
          <w:rFonts w:cstheme="minorHAnsi"/>
          <w:sz w:val="22"/>
          <w:szCs w:val="22"/>
          <w:lang w:val="sr-Cyrl-RS"/>
        </w:rPr>
        <w:t>Стандарда и смјерница</w:t>
      </w:r>
      <w:r w:rsidR="0079572D" w:rsidRPr="00D8009A">
        <w:rPr>
          <w:rFonts w:cstheme="minorHAnsi"/>
          <w:sz w:val="22"/>
          <w:szCs w:val="22"/>
          <w:lang w:val="sr-Cyrl-RS"/>
        </w:rPr>
        <w:t xml:space="preserve"> за обезбјеђење квалитета у </w:t>
      </w:r>
      <w:r w:rsidR="0079572D">
        <w:rPr>
          <w:rFonts w:cstheme="minorHAnsi"/>
          <w:sz w:val="22"/>
          <w:szCs w:val="22"/>
          <w:lang w:val="sr-Cyrl-RS"/>
        </w:rPr>
        <w:t>Е</w:t>
      </w:r>
      <w:r w:rsidR="0079572D" w:rsidRPr="00D8009A">
        <w:rPr>
          <w:rFonts w:cstheme="minorHAnsi"/>
          <w:sz w:val="22"/>
          <w:szCs w:val="22"/>
          <w:lang w:val="sr-Cyrl-RS"/>
        </w:rPr>
        <w:t>вропском простору високог образовања</w:t>
      </w:r>
      <w:r w:rsidR="0079572D" w:rsidRPr="002435A4">
        <w:rPr>
          <w:rFonts w:eastAsia="Calibri" w:cstheme="minorHAnsi"/>
          <w:sz w:val="22"/>
          <w:szCs w:val="22"/>
          <w:lang w:val="sr-Cyrl-BA" w:eastAsia="en-GB"/>
        </w:rPr>
        <w:t xml:space="preserve"> </w:t>
      </w:r>
      <w:r w:rsidR="0079572D">
        <w:rPr>
          <w:rFonts w:eastAsia="Calibri" w:cstheme="minorHAnsi"/>
          <w:sz w:val="22"/>
          <w:szCs w:val="22"/>
          <w:lang w:val="sr-Cyrl-BA" w:eastAsia="en-GB"/>
        </w:rPr>
        <w:t xml:space="preserve"> - </w:t>
      </w:r>
      <w:r w:rsidR="002C2A87" w:rsidRPr="002435A4">
        <w:rPr>
          <w:rFonts w:eastAsia="Calibri" w:cstheme="minorHAnsi"/>
          <w:sz w:val="22"/>
          <w:szCs w:val="22"/>
          <w:lang w:val="sr-Cyrl-BA" w:eastAsia="en-GB"/>
        </w:rPr>
        <w:t xml:space="preserve">ESG. </w:t>
      </w:r>
      <w:r w:rsidR="002435A4">
        <w:rPr>
          <w:rStyle w:val="FootnoteReference"/>
          <w:rFonts w:eastAsia="Calibri" w:cstheme="minorHAnsi"/>
          <w:sz w:val="22"/>
          <w:szCs w:val="22"/>
          <w:lang w:val="sr-Cyrl-BA" w:eastAsia="en-GB"/>
        </w:rPr>
        <w:footnoteReference w:id="4"/>
      </w:r>
      <w:r w:rsidR="002C2A87" w:rsidRPr="002435A4">
        <w:rPr>
          <w:rFonts w:eastAsia="Calibri" w:cstheme="minorHAnsi"/>
          <w:sz w:val="22"/>
          <w:szCs w:val="22"/>
          <w:lang w:val="sr-Cyrl-BA" w:eastAsia="en-GB"/>
        </w:rPr>
        <w:t xml:space="preserve"> </w:t>
      </w:r>
    </w:p>
    <w:p w:rsidR="00E01A2D" w:rsidRDefault="002C2A87" w:rsidP="00E01A2D">
      <w:pPr>
        <w:spacing w:after="240" w:line="276" w:lineRule="auto"/>
        <w:jc w:val="both"/>
        <w:rPr>
          <w:rFonts w:eastAsia="Calibri" w:cstheme="minorHAnsi"/>
          <w:sz w:val="22"/>
          <w:szCs w:val="22"/>
          <w:lang w:val="sr-Cyrl-BA" w:eastAsia="en-GB"/>
        </w:rPr>
      </w:pPr>
      <w:r w:rsidRPr="002435A4">
        <w:rPr>
          <w:rFonts w:eastAsia="Calibri" w:cstheme="minorHAnsi"/>
          <w:sz w:val="22"/>
          <w:szCs w:val="22"/>
          <w:lang w:val="sr-Cyrl-BA" w:eastAsia="en-GB"/>
        </w:rPr>
        <w:t xml:space="preserve">Разлози за доношење </w:t>
      </w:r>
      <w:r w:rsidR="002435A4" w:rsidRPr="002435A4">
        <w:rPr>
          <w:rFonts w:eastAsia="Calibri" w:cstheme="minorHAnsi"/>
          <w:sz w:val="22"/>
          <w:szCs w:val="22"/>
          <w:lang w:val="sr-Cyrl-BA" w:eastAsia="en-GB"/>
        </w:rPr>
        <w:t xml:space="preserve">новог закона </w:t>
      </w:r>
      <w:r w:rsidRPr="002435A4">
        <w:rPr>
          <w:rFonts w:eastAsia="Calibri" w:cstheme="minorHAnsi"/>
          <w:sz w:val="22"/>
          <w:szCs w:val="22"/>
          <w:lang w:val="sr-Cyrl-BA" w:eastAsia="en-GB"/>
        </w:rPr>
        <w:t>се односе и на додатно јачање позиције Агенције у смислу признавања и препознавања система високог образовања Републике Српске у Европском простору високог образовања</w:t>
      </w:r>
      <w:r w:rsidR="009C0F2A">
        <w:rPr>
          <w:rFonts w:eastAsia="Calibri" w:cstheme="minorHAnsi"/>
          <w:sz w:val="22"/>
          <w:szCs w:val="22"/>
          <w:lang w:val="sr-Cyrl-BA" w:eastAsia="en-GB"/>
        </w:rPr>
        <w:t xml:space="preserve"> (</w:t>
      </w:r>
      <w:r w:rsidR="009C0F2A">
        <w:rPr>
          <w:rFonts w:eastAsia="Calibri" w:cstheme="minorHAnsi"/>
          <w:sz w:val="22"/>
          <w:szCs w:val="22"/>
          <w:lang w:val="sr-Latn-RS" w:eastAsia="en-GB"/>
        </w:rPr>
        <w:t>EHEA)</w:t>
      </w:r>
      <w:r w:rsidR="009C0F2A">
        <w:rPr>
          <w:rStyle w:val="FootnoteReference"/>
          <w:rFonts w:eastAsia="Calibri" w:cstheme="minorHAnsi"/>
          <w:sz w:val="22"/>
          <w:szCs w:val="22"/>
          <w:lang w:val="sr-Cyrl-BA" w:eastAsia="en-GB"/>
        </w:rPr>
        <w:footnoteReference w:id="5"/>
      </w:r>
      <w:r w:rsidRPr="002435A4">
        <w:rPr>
          <w:rFonts w:eastAsia="Calibri" w:cstheme="minorHAnsi"/>
          <w:sz w:val="22"/>
          <w:szCs w:val="22"/>
          <w:lang w:val="sr-Cyrl-BA" w:eastAsia="en-GB"/>
        </w:rPr>
        <w:t xml:space="preserve">. Напори Министарства </w:t>
      </w:r>
      <w:r w:rsidR="00E01A2D">
        <w:rPr>
          <w:rStyle w:val="A5"/>
          <w:rFonts w:ascii="Calibri" w:eastAsiaTheme="minorEastAsia" w:hAnsi="Calibri" w:cs="Calibri"/>
          <w:lang w:val="sr-Cyrl-BA" w:eastAsia="bs-Latn-BA"/>
        </w:rPr>
        <w:t xml:space="preserve">за научнотехнолошки развој и високо образовање (у даљем тексту: Министарство) </w:t>
      </w:r>
      <w:r w:rsidRPr="002435A4">
        <w:rPr>
          <w:rFonts w:eastAsia="Calibri" w:cstheme="minorHAnsi"/>
          <w:sz w:val="22"/>
          <w:szCs w:val="22"/>
          <w:lang w:val="sr-Cyrl-BA" w:eastAsia="en-GB"/>
        </w:rPr>
        <w:t>и Агенције су усмјерени на стицање пуноправног чланства Агенције у Европској асоцијацији за обезбјеђење квалитета у високом образовању (</w:t>
      </w:r>
      <w:r w:rsidR="00E01A2D" w:rsidRPr="002435A4">
        <w:rPr>
          <w:rFonts w:eastAsia="Calibri" w:cstheme="minorHAnsi"/>
          <w:sz w:val="22"/>
          <w:szCs w:val="22"/>
          <w:lang w:val="sr-Cyrl-BA" w:eastAsia="en-GB"/>
        </w:rPr>
        <w:t>ENQA</w:t>
      </w:r>
      <w:r w:rsidRPr="002435A4">
        <w:rPr>
          <w:rFonts w:eastAsia="Calibri" w:cstheme="minorHAnsi"/>
          <w:sz w:val="22"/>
          <w:szCs w:val="22"/>
          <w:lang w:val="sr-Cyrl-BA" w:eastAsia="en-GB"/>
        </w:rPr>
        <w:t>)</w:t>
      </w:r>
      <w:r w:rsidR="00E01A2D" w:rsidRPr="00264200">
        <w:rPr>
          <w:rFonts w:cstheme="minorHAnsi"/>
          <w:vertAlign w:val="superscript"/>
        </w:rPr>
        <w:footnoteReference w:id="6"/>
      </w:r>
      <w:r w:rsidRPr="002435A4">
        <w:rPr>
          <w:rFonts w:eastAsia="Calibri" w:cstheme="minorHAnsi"/>
          <w:sz w:val="22"/>
          <w:szCs w:val="22"/>
          <w:lang w:val="sr-Cyrl-BA" w:eastAsia="en-GB"/>
        </w:rPr>
        <w:t xml:space="preserve"> и Европском регистру за осигурање квалитета у високом образовању (ЕQАR)</w:t>
      </w:r>
      <w:r w:rsidR="00E01A2D">
        <w:rPr>
          <w:rStyle w:val="FootnoteReference"/>
          <w:rFonts w:eastAsia="Calibri" w:cstheme="minorHAnsi"/>
          <w:sz w:val="22"/>
          <w:szCs w:val="22"/>
          <w:lang w:val="sr-Cyrl-BA" w:eastAsia="en-GB"/>
        </w:rPr>
        <w:footnoteReference w:id="7"/>
      </w:r>
      <w:r w:rsidRPr="002435A4">
        <w:rPr>
          <w:rFonts w:eastAsia="Calibri" w:cstheme="minorHAnsi"/>
          <w:sz w:val="22"/>
          <w:szCs w:val="22"/>
          <w:lang w:val="sr-Cyrl-BA" w:eastAsia="en-GB"/>
        </w:rPr>
        <w:t xml:space="preserve"> који води базу података о агенцијама (DEQAR)</w:t>
      </w:r>
      <w:r w:rsidR="00E01A2D">
        <w:rPr>
          <w:rStyle w:val="FootnoteReference"/>
          <w:rFonts w:eastAsia="Calibri" w:cstheme="minorHAnsi"/>
          <w:sz w:val="22"/>
          <w:szCs w:val="22"/>
          <w:lang w:val="sr-Cyrl-BA" w:eastAsia="en-GB"/>
        </w:rPr>
        <w:footnoteReference w:id="8"/>
      </w:r>
      <w:r w:rsidR="00E01A2D">
        <w:rPr>
          <w:rFonts w:eastAsia="Calibri" w:cstheme="minorHAnsi"/>
          <w:sz w:val="22"/>
          <w:szCs w:val="22"/>
          <w:lang w:val="sr-Cyrl-BA" w:eastAsia="en-GB"/>
        </w:rPr>
        <w:t>,</w:t>
      </w:r>
      <w:r w:rsidRPr="002435A4">
        <w:rPr>
          <w:rFonts w:eastAsia="Calibri" w:cstheme="minorHAnsi"/>
          <w:sz w:val="22"/>
          <w:szCs w:val="22"/>
          <w:lang w:val="sr-Cyrl-BA" w:eastAsia="en-GB"/>
        </w:rPr>
        <w:t xml:space="preserve"> чланицама регистра. </w:t>
      </w:r>
    </w:p>
    <w:p w:rsidR="001D56D7" w:rsidRDefault="00637F6E" w:rsidP="001D56D7">
      <w:pPr>
        <w:spacing w:after="240" w:line="276" w:lineRule="auto"/>
        <w:jc w:val="both"/>
        <w:rPr>
          <w:rFonts w:eastAsia="Calibri" w:cstheme="minorHAnsi"/>
          <w:sz w:val="22"/>
          <w:szCs w:val="22"/>
          <w:lang w:val="sr-Cyrl-BA" w:eastAsia="en-GB"/>
        </w:rPr>
      </w:pPr>
      <w:r w:rsidRPr="00637F6E">
        <w:rPr>
          <w:rFonts w:cstheme="minorHAnsi"/>
          <w:sz w:val="22"/>
          <w:szCs w:val="22"/>
          <w:lang w:val="sr-Cyrl-RS"/>
        </w:rPr>
        <w:t xml:space="preserve">Управни одбор Агенције </w:t>
      </w:r>
      <w:r w:rsidR="00E01A2D">
        <w:rPr>
          <w:rFonts w:cstheme="minorHAnsi"/>
          <w:sz w:val="22"/>
          <w:szCs w:val="22"/>
          <w:lang w:val="sr-Cyrl-RS"/>
        </w:rPr>
        <w:t xml:space="preserve">је </w:t>
      </w:r>
      <w:r w:rsidRPr="00637F6E">
        <w:rPr>
          <w:rFonts w:cstheme="minorHAnsi"/>
          <w:sz w:val="22"/>
          <w:szCs w:val="22"/>
          <w:lang w:val="sr-Cyrl-RS"/>
        </w:rPr>
        <w:t xml:space="preserve"> на</w:t>
      </w:r>
      <w:r w:rsidRPr="00637F6E">
        <w:rPr>
          <w:rFonts w:cstheme="minorHAnsi"/>
          <w:sz w:val="22"/>
          <w:szCs w:val="22"/>
          <w:lang w:val="sr-Latn-RS"/>
        </w:rPr>
        <w:t xml:space="preserve"> 50</w:t>
      </w:r>
      <w:r w:rsidRPr="00637F6E">
        <w:rPr>
          <w:rFonts w:cstheme="minorHAnsi"/>
          <w:sz w:val="22"/>
          <w:szCs w:val="22"/>
          <w:lang w:val="sr-Cyrl-RS"/>
        </w:rPr>
        <w:t>. редовној</w:t>
      </w:r>
      <w:r w:rsidRPr="00637F6E">
        <w:rPr>
          <w:rFonts w:cstheme="minorHAnsi"/>
          <w:sz w:val="22"/>
          <w:szCs w:val="22"/>
          <w:lang w:val="sr-Latn-RS"/>
        </w:rPr>
        <w:t xml:space="preserve"> </w:t>
      </w:r>
      <w:r w:rsidRPr="00637F6E">
        <w:rPr>
          <w:rFonts w:cstheme="minorHAnsi"/>
          <w:sz w:val="22"/>
          <w:szCs w:val="22"/>
          <w:lang w:val="sr-Cyrl-RS"/>
        </w:rPr>
        <w:t xml:space="preserve">сједници сједници одржаној дана </w:t>
      </w:r>
      <w:r w:rsidRPr="00637F6E">
        <w:rPr>
          <w:rFonts w:cstheme="minorHAnsi"/>
          <w:sz w:val="22"/>
          <w:szCs w:val="22"/>
          <w:lang w:val="sr-Latn-RS"/>
        </w:rPr>
        <w:t>19</w:t>
      </w:r>
      <w:r w:rsidRPr="00637F6E">
        <w:rPr>
          <w:rFonts w:cstheme="minorHAnsi"/>
          <w:sz w:val="22"/>
          <w:szCs w:val="22"/>
          <w:lang w:val="sr-Cyrl-RS"/>
        </w:rPr>
        <w:t>.</w:t>
      </w:r>
      <w:r w:rsidRPr="00637F6E">
        <w:rPr>
          <w:rFonts w:cstheme="minorHAnsi"/>
          <w:sz w:val="22"/>
          <w:szCs w:val="22"/>
          <w:lang w:val="sr-Latn-RS"/>
        </w:rPr>
        <w:t>11</w:t>
      </w:r>
      <w:r w:rsidR="00E01A2D">
        <w:rPr>
          <w:rFonts w:cstheme="minorHAnsi"/>
          <w:sz w:val="22"/>
          <w:szCs w:val="22"/>
          <w:lang w:val="sr-Cyrl-RS"/>
        </w:rPr>
        <w:t xml:space="preserve">.2024. године </w:t>
      </w:r>
      <w:r w:rsidRPr="00637F6E">
        <w:rPr>
          <w:rFonts w:cstheme="minorHAnsi"/>
          <w:sz w:val="22"/>
          <w:szCs w:val="22"/>
          <w:lang w:val="sr-Cyrl-RS"/>
        </w:rPr>
        <w:t>усвојио п</w:t>
      </w:r>
      <w:r w:rsidRPr="00637F6E">
        <w:rPr>
          <w:sz w:val="22"/>
          <w:szCs w:val="22"/>
          <w:lang w:val="sr-Cyrl-RS" w:eastAsia="en-GB"/>
        </w:rPr>
        <w:t xml:space="preserve">риједлог Правилника о унутрашњем осигурању квалитета рада Агенције са Кодексом пословне етике, број: </w:t>
      </w:r>
      <w:r w:rsidRPr="00637F6E">
        <w:rPr>
          <w:rFonts w:cstheme="minorHAnsi"/>
          <w:sz w:val="22"/>
          <w:szCs w:val="22"/>
          <w:lang w:val="sr-Cyrl-RS"/>
        </w:rPr>
        <w:t xml:space="preserve">1-02-1-345-3/24 од </w:t>
      </w:r>
      <w:r w:rsidRPr="00637F6E">
        <w:rPr>
          <w:rFonts w:cstheme="minorHAnsi"/>
          <w:sz w:val="22"/>
          <w:szCs w:val="22"/>
          <w:lang w:val="sr-Latn-RS"/>
        </w:rPr>
        <w:t>19</w:t>
      </w:r>
      <w:r w:rsidRPr="00637F6E">
        <w:rPr>
          <w:rFonts w:cstheme="minorHAnsi"/>
          <w:sz w:val="22"/>
          <w:szCs w:val="22"/>
          <w:lang w:val="sr-Cyrl-RS"/>
        </w:rPr>
        <w:t>.</w:t>
      </w:r>
      <w:r w:rsidRPr="00637F6E">
        <w:rPr>
          <w:rFonts w:cstheme="minorHAnsi"/>
          <w:sz w:val="22"/>
          <w:szCs w:val="22"/>
          <w:lang w:val="sr-Latn-RS"/>
        </w:rPr>
        <w:t>11</w:t>
      </w:r>
      <w:r w:rsidRPr="00637F6E">
        <w:rPr>
          <w:rFonts w:cstheme="minorHAnsi"/>
          <w:sz w:val="22"/>
          <w:szCs w:val="22"/>
          <w:lang w:val="sr-Cyrl-RS"/>
        </w:rPr>
        <w:t>.2024. године</w:t>
      </w:r>
      <w:r w:rsidR="0041694F">
        <w:rPr>
          <w:rFonts w:cstheme="minorHAnsi"/>
          <w:sz w:val="22"/>
          <w:szCs w:val="22"/>
          <w:lang w:val="sr-Cyrl-RS"/>
        </w:rPr>
        <w:t>. Овим правилником се</w:t>
      </w:r>
      <w:r w:rsidR="0041694F">
        <w:rPr>
          <w:rFonts w:cstheme="minorHAnsi"/>
          <w:sz w:val="22"/>
          <w:szCs w:val="22"/>
          <w:lang w:val="en-GB"/>
        </w:rPr>
        <w:t xml:space="preserve"> </w:t>
      </w:r>
      <w:r w:rsidR="0041694F" w:rsidRPr="0041694F">
        <w:rPr>
          <w:rFonts w:cstheme="minorHAnsi"/>
          <w:sz w:val="22"/>
          <w:szCs w:val="22"/>
          <w:lang w:val="sr-Cyrl-RS"/>
        </w:rPr>
        <w:t>прописују циљ, сврха и процедуре унутрашњег осигурања квалитета рада Агенције</w:t>
      </w:r>
      <w:r w:rsidR="0041694F">
        <w:rPr>
          <w:rFonts w:cstheme="minorHAnsi"/>
          <w:sz w:val="22"/>
          <w:szCs w:val="22"/>
          <w:lang w:val="sr-Cyrl-RS"/>
        </w:rPr>
        <w:t>, док се к</w:t>
      </w:r>
      <w:r w:rsidR="0041694F" w:rsidRPr="0041694F">
        <w:rPr>
          <w:rFonts w:cstheme="minorHAnsi"/>
          <w:sz w:val="22"/>
          <w:szCs w:val="22"/>
          <w:lang w:val="sr-Cyrl-RS"/>
        </w:rPr>
        <w:t>одекс</w:t>
      </w:r>
      <w:r w:rsidR="0041694F">
        <w:rPr>
          <w:rFonts w:cstheme="minorHAnsi"/>
          <w:sz w:val="22"/>
          <w:szCs w:val="22"/>
          <w:lang w:val="sr-Cyrl-RS"/>
        </w:rPr>
        <w:t>ом</w:t>
      </w:r>
      <w:r w:rsidR="0041694F" w:rsidRPr="0041694F">
        <w:rPr>
          <w:rFonts w:cstheme="minorHAnsi"/>
          <w:sz w:val="22"/>
          <w:szCs w:val="22"/>
          <w:lang w:val="sr-Cyrl-RS"/>
        </w:rPr>
        <w:t xml:space="preserve"> пословне етике одређује етичност као скуп начела, права и обавеза којима се уређују људски и професионални односи међу запосленима </w:t>
      </w:r>
      <w:r w:rsidR="0041694F">
        <w:rPr>
          <w:rFonts w:cstheme="minorHAnsi"/>
          <w:sz w:val="22"/>
          <w:szCs w:val="22"/>
          <w:lang w:val="sr-Cyrl-RS"/>
        </w:rPr>
        <w:t>у</w:t>
      </w:r>
      <w:r w:rsidR="0041694F" w:rsidRPr="0041694F">
        <w:rPr>
          <w:rFonts w:cstheme="minorHAnsi"/>
          <w:sz w:val="22"/>
          <w:szCs w:val="22"/>
          <w:lang w:val="sr-Cyrl-RS"/>
        </w:rPr>
        <w:t xml:space="preserve"> Агенцији</w:t>
      </w:r>
      <w:r w:rsidR="0041694F">
        <w:rPr>
          <w:rFonts w:cstheme="minorHAnsi"/>
          <w:sz w:val="22"/>
          <w:szCs w:val="22"/>
          <w:lang w:val="sr-Cyrl-RS"/>
        </w:rPr>
        <w:t xml:space="preserve"> и</w:t>
      </w:r>
      <w:r w:rsidR="0041694F" w:rsidRPr="0041694F">
        <w:rPr>
          <w:rFonts w:cstheme="minorHAnsi"/>
          <w:sz w:val="22"/>
          <w:szCs w:val="22"/>
          <w:lang w:val="sr-Cyrl-RS"/>
        </w:rPr>
        <w:t xml:space="preserve"> другим лицима које Агенција ангажује </w:t>
      </w:r>
      <w:r w:rsidR="0041694F">
        <w:rPr>
          <w:rFonts w:cstheme="minorHAnsi"/>
          <w:sz w:val="22"/>
          <w:szCs w:val="22"/>
          <w:lang w:val="sr-Cyrl-RS"/>
        </w:rPr>
        <w:t>у поступцима вањског вредновања</w:t>
      </w:r>
      <w:r w:rsidR="0041694F" w:rsidRPr="0041694F">
        <w:rPr>
          <w:rFonts w:cstheme="minorHAnsi"/>
          <w:sz w:val="22"/>
          <w:szCs w:val="22"/>
          <w:lang w:val="sr-Cyrl-RS"/>
        </w:rPr>
        <w:t xml:space="preserve">, те однос према свим заинтересованим странама од којих се очекује поштовање етичких стандарда с циљем оправдања јавног повјерења и вјеродостојности рада Агенције.  </w:t>
      </w:r>
    </w:p>
    <w:p w:rsidR="00816A92" w:rsidRPr="001D56D7" w:rsidRDefault="004B433A" w:rsidP="004B433A">
      <w:pPr>
        <w:spacing w:line="276" w:lineRule="auto"/>
        <w:jc w:val="both"/>
        <w:rPr>
          <w:rFonts w:eastAsia="Calibri" w:cstheme="minorHAnsi"/>
          <w:sz w:val="22"/>
          <w:szCs w:val="22"/>
          <w:lang w:val="sr-Cyrl-BA" w:eastAsia="en-GB"/>
        </w:rPr>
      </w:pPr>
      <w:r w:rsidRPr="004B433A">
        <w:rPr>
          <w:rFonts w:cstheme="minorHAnsi"/>
          <w:sz w:val="22"/>
          <w:szCs w:val="22"/>
          <w:lang w:val="sr-Cyrl-RS"/>
        </w:rPr>
        <w:t>У 2024. години су к</w:t>
      </w:r>
      <w:r w:rsidR="00816A92" w:rsidRPr="004B433A">
        <w:rPr>
          <w:rFonts w:cstheme="minorHAnsi"/>
          <w:sz w:val="22"/>
          <w:szCs w:val="22"/>
          <w:lang w:val="sr-Cyrl-RS"/>
        </w:rPr>
        <w:t>реирани нови апликациони обрасци за високошколске установе и студијске програме и нове листе провјере за стручњаке на основу нових Стандарда за акредитацију високошколских устанвоа и Стандарда за акредитацију студијских програма првог и другог циклуса.</w:t>
      </w:r>
    </w:p>
    <w:p w:rsidR="00816A92" w:rsidRPr="002F126F" w:rsidRDefault="00816A92" w:rsidP="00AF3A1D">
      <w:pPr>
        <w:spacing w:after="240" w:line="276" w:lineRule="auto"/>
        <w:jc w:val="both"/>
        <w:rPr>
          <w:rFonts w:eastAsia="Calibri" w:cstheme="minorHAnsi"/>
          <w:sz w:val="22"/>
          <w:szCs w:val="22"/>
          <w:lang w:val="sr-Cyrl-BA" w:eastAsia="en-GB"/>
        </w:rPr>
      </w:pPr>
    </w:p>
    <w:p w:rsidR="00F107A5" w:rsidRPr="0089533E" w:rsidRDefault="00D406AD" w:rsidP="00FC7CC5">
      <w:pPr>
        <w:pStyle w:val="a"/>
        <w:numPr>
          <w:ilvl w:val="0"/>
          <w:numId w:val="7"/>
        </w:numPr>
        <w:rPr>
          <w:rFonts w:asciiTheme="minorHAnsi" w:hAnsiTheme="minorHAnsi" w:cstheme="minorHAnsi"/>
          <w:color w:val="323E4F" w:themeColor="text2" w:themeShade="BF"/>
        </w:rPr>
      </w:pPr>
      <w:bookmarkStart w:id="4" w:name="_Toc190682506"/>
      <w:r w:rsidRPr="0089533E">
        <w:rPr>
          <w:rFonts w:asciiTheme="minorHAnsi" w:hAnsiTheme="minorHAnsi" w:cstheme="minorHAnsi"/>
          <w:color w:val="323E4F" w:themeColor="text2" w:themeShade="BF"/>
        </w:rPr>
        <w:t>ТЕМАТСКИ ДИО</w:t>
      </w:r>
      <w:bookmarkEnd w:id="4"/>
    </w:p>
    <w:p w:rsidR="0091485B" w:rsidRPr="005D1430" w:rsidRDefault="0091485B" w:rsidP="00AF3A1D">
      <w:pPr>
        <w:pStyle w:val="ListParagraph"/>
        <w:jc w:val="both"/>
        <w:rPr>
          <w:rFonts w:eastAsia="Calibri" w:cstheme="minorHAnsi"/>
          <w:b/>
          <w:lang w:val="sr-Cyrl-RS"/>
        </w:rPr>
      </w:pPr>
    </w:p>
    <w:p w:rsidR="0091485B" w:rsidRPr="00AF3A1D" w:rsidRDefault="0089533E" w:rsidP="00AF3A1D">
      <w:pPr>
        <w:pStyle w:val="a0"/>
        <w:numPr>
          <w:ilvl w:val="1"/>
          <w:numId w:val="8"/>
        </w:numPr>
        <w:tabs>
          <w:tab w:val="left" w:pos="709"/>
          <w:tab w:val="left" w:pos="993"/>
          <w:tab w:val="left" w:pos="1701"/>
        </w:tabs>
        <w:rPr>
          <w:rFonts w:asciiTheme="minorHAnsi" w:hAnsiTheme="minorHAnsi" w:cstheme="minorHAnsi"/>
          <w:color w:val="FF0000"/>
        </w:rPr>
      </w:pPr>
      <w:r>
        <w:rPr>
          <w:rFonts w:asciiTheme="minorHAnsi" w:hAnsiTheme="minorHAnsi" w:cstheme="minorHAnsi"/>
          <w:color w:val="3B3838" w:themeColor="background2" w:themeShade="40"/>
          <w:sz w:val="22"/>
          <w:szCs w:val="22"/>
          <w:lang w:val="en-GB"/>
        </w:rPr>
        <w:t xml:space="preserve"> </w:t>
      </w:r>
      <w:bookmarkStart w:id="5" w:name="_Toc190682507"/>
      <w:r w:rsidR="00EE6164" w:rsidRPr="00AF3A1D">
        <w:rPr>
          <w:rFonts w:asciiTheme="minorHAnsi" w:hAnsiTheme="minorHAnsi" w:cstheme="minorHAnsi"/>
          <w:color w:val="323E4F" w:themeColor="text2" w:themeShade="BF"/>
        </w:rPr>
        <w:t>АКРЕДИТАЦИЈА УСТАНОВА И СТУДИЈСКИХ ПРОГРАМА</w:t>
      </w:r>
      <w:bookmarkEnd w:id="5"/>
      <w:r w:rsidR="002E6F68" w:rsidRPr="00AF3A1D">
        <w:rPr>
          <w:rFonts w:asciiTheme="minorHAnsi" w:hAnsiTheme="minorHAnsi" w:cstheme="minorHAnsi"/>
          <w:color w:val="323E4F" w:themeColor="text2" w:themeShade="BF"/>
        </w:rPr>
        <w:t xml:space="preserve"> </w:t>
      </w:r>
    </w:p>
    <w:p w:rsidR="00637F6E" w:rsidRDefault="00637F6E" w:rsidP="00637F6E">
      <w:pPr>
        <w:jc w:val="both"/>
        <w:rPr>
          <w:rFonts w:eastAsia="Calibri" w:cstheme="minorHAnsi"/>
          <w:b/>
          <w:color w:val="323E4F" w:themeColor="text2" w:themeShade="BF"/>
          <w:sz w:val="22"/>
          <w:szCs w:val="22"/>
          <w:lang w:val="sr-Cyrl-RS"/>
        </w:rPr>
      </w:pPr>
    </w:p>
    <w:p w:rsidR="007C3FCD" w:rsidRPr="008137BE" w:rsidRDefault="007C3FCD" w:rsidP="00CC1FB4">
      <w:pPr>
        <w:spacing w:line="276" w:lineRule="auto"/>
        <w:jc w:val="both"/>
        <w:rPr>
          <w:rStyle w:val="A5"/>
          <w:rFonts w:ascii="Calibri" w:hAnsi="Calibri" w:cs="Calibri"/>
          <w:color w:val="000000" w:themeColor="text1"/>
          <w:lang w:val="sr-Cyrl-RS"/>
        </w:rPr>
      </w:pPr>
      <w:r>
        <w:rPr>
          <w:rFonts w:eastAsia="Calibri" w:cstheme="minorHAnsi"/>
          <w:sz w:val="22"/>
          <w:szCs w:val="22"/>
          <w:lang w:val="sr-Cyrl-RS"/>
        </w:rPr>
        <w:t xml:space="preserve">Рад </w:t>
      </w:r>
      <w:r w:rsidRPr="007C3FCD">
        <w:rPr>
          <w:rFonts w:eastAsia="Calibri" w:cstheme="minorHAnsi"/>
          <w:sz w:val="22"/>
          <w:szCs w:val="22"/>
          <w:lang w:val="sr-Cyrl-RS"/>
        </w:rPr>
        <w:t xml:space="preserve">Агенција </w:t>
      </w:r>
      <w:r>
        <w:rPr>
          <w:rFonts w:eastAsia="Calibri" w:cstheme="minorHAnsi"/>
          <w:sz w:val="22"/>
          <w:szCs w:val="22"/>
          <w:lang w:val="sr-Cyrl-RS"/>
        </w:rPr>
        <w:t xml:space="preserve">у области акредитације установа и студијских програма </w:t>
      </w:r>
      <w:r w:rsidRPr="007C3FCD">
        <w:rPr>
          <w:rFonts w:eastAsia="Calibri" w:cstheme="minorHAnsi"/>
          <w:sz w:val="22"/>
          <w:szCs w:val="22"/>
          <w:lang w:val="sr-Cyrl-RS"/>
        </w:rPr>
        <w:t>у 2024. години</w:t>
      </w:r>
      <w:r>
        <w:rPr>
          <w:rFonts w:eastAsia="Calibri" w:cstheme="minorHAnsi"/>
          <w:sz w:val="22"/>
          <w:szCs w:val="22"/>
          <w:lang w:val="sr-Cyrl-RS"/>
        </w:rPr>
        <w:t xml:space="preserve"> је обиљежен повећаним обимом посла</w:t>
      </w:r>
      <w:r w:rsidR="0057369E">
        <w:rPr>
          <w:rFonts w:eastAsia="Calibri" w:cstheme="minorHAnsi"/>
          <w:sz w:val="22"/>
          <w:szCs w:val="22"/>
          <w:lang w:val="sr-Cyrl-RS"/>
        </w:rPr>
        <w:t xml:space="preserve"> и отежаним условима рада</w:t>
      </w:r>
      <w:r>
        <w:rPr>
          <w:rFonts w:eastAsia="Calibri" w:cstheme="minorHAnsi"/>
          <w:sz w:val="22"/>
          <w:szCs w:val="22"/>
          <w:lang w:val="sr-Cyrl-RS"/>
        </w:rPr>
        <w:t>, првенствено због већег броја тужби виокошколских установа којима је одбијен захтјев за акредитацију</w:t>
      </w:r>
      <w:r w:rsidR="0057369E">
        <w:rPr>
          <w:rFonts w:eastAsia="Calibri" w:cstheme="minorHAnsi"/>
          <w:sz w:val="22"/>
          <w:szCs w:val="22"/>
          <w:lang w:val="sr-Cyrl-RS"/>
        </w:rPr>
        <w:t xml:space="preserve">, </w:t>
      </w:r>
      <w:r>
        <w:rPr>
          <w:rFonts w:eastAsia="Calibri" w:cstheme="minorHAnsi"/>
          <w:sz w:val="22"/>
          <w:szCs w:val="22"/>
          <w:lang w:val="sr-Cyrl-RS"/>
        </w:rPr>
        <w:t xml:space="preserve"> извршавања пресуда по истим</w:t>
      </w:r>
      <w:r w:rsidR="0057369E">
        <w:rPr>
          <w:rFonts w:eastAsia="Calibri" w:cstheme="minorHAnsi"/>
          <w:sz w:val="22"/>
          <w:szCs w:val="22"/>
          <w:lang w:val="sr-Cyrl-RS"/>
        </w:rPr>
        <w:t xml:space="preserve">, као и упућивања захтјева за ванредно преиспитивање пресуде Врховном суду Републике Српске.  </w:t>
      </w:r>
      <w:r>
        <w:rPr>
          <w:rFonts w:eastAsia="Calibri" w:cstheme="minorHAnsi"/>
          <w:sz w:val="22"/>
          <w:szCs w:val="22"/>
          <w:lang w:val="sr-Cyrl-RS"/>
        </w:rPr>
        <w:t xml:space="preserve">Агенција је такође улагала и додатне напоре на провјери легитимности установа за акредитацију, посебно имајући у виду активности Тужилаштва </w:t>
      </w:r>
      <w:r w:rsidRPr="00404F46">
        <w:rPr>
          <w:rStyle w:val="A5"/>
          <w:rFonts w:ascii="Calibri" w:hAnsi="Calibri" w:cs="Calibri"/>
          <w:color w:val="auto"/>
          <w:lang w:val="sr-Cyrl-BA"/>
        </w:rPr>
        <w:t xml:space="preserve">Босне и Херцеговине </w:t>
      </w:r>
      <w:r>
        <w:rPr>
          <w:rFonts w:eastAsia="Calibri" w:cstheme="minorHAnsi"/>
          <w:sz w:val="22"/>
          <w:szCs w:val="22"/>
          <w:lang w:val="sr-Cyrl-RS"/>
        </w:rPr>
        <w:t xml:space="preserve">у оквиру акције  </w:t>
      </w:r>
      <w:r w:rsidR="00CC1FB4">
        <w:rPr>
          <w:rFonts w:eastAsia="Calibri" w:cstheme="minorHAnsi"/>
          <w:sz w:val="22"/>
          <w:szCs w:val="22"/>
          <w:lang w:val="sr-Cyrl-RS"/>
        </w:rPr>
        <w:t>„</w:t>
      </w:r>
      <w:r>
        <w:rPr>
          <w:rFonts w:eastAsia="Calibri" w:cstheme="minorHAnsi"/>
          <w:sz w:val="22"/>
          <w:szCs w:val="22"/>
          <w:lang w:val="sr-Cyrl-RS"/>
        </w:rPr>
        <w:t>Кластер</w:t>
      </w:r>
      <w:r w:rsidR="00CC1FB4">
        <w:rPr>
          <w:rFonts w:eastAsia="Calibri" w:cstheme="minorHAnsi"/>
          <w:sz w:val="22"/>
          <w:szCs w:val="22"/>
          <w:lang w:val="sr-Cyrl-RS"/>
        </w:rPr>
        <w:t>“</w:t>
      </w:r>
      <w:r>
        <w:rPr>
          <w:rFonts w:eastAsia="Calibri" w:cstheme="minorHAnsi"/>
          <w:sz w:val="22"/>
          <w:szCs w:val="22"/>
          <w:lang w:val="sr-Cyrl-RS"/>
        </w:rPr>
        <w:t xml:space="preserve"> и подизања </w:t>
      </w:r>
      <w:r w:rsidRPr="00404F46">
        <w:rPr>
          <w:rStyle w:val="A5"/>
          <w:rFonts w:ascii="Calibri" w:hAnsi="Calibri" w:cs="Calibri"/>
          <w:color w:val="auto"/>
          <w:lang w:val="sr-Cyrl-BA"/>
        </w:rPr>
        <w:t>оптужниц</w:t>
      </w:r>
      <w:r w:rsidR="00CC1FB4">
        <w:rPr>
          <w:rStyle w:val="A5"/>
          <w:rFonts w:ascii="Calibri" w:hAnsi="Calibri" w:cs="Calibri"/>
          <w:color w:val="auto"/>
          <w:lang w:val="sr-Cyrl-BA"/>
        </w:rPr>
        <w:t>е</w:t>
      </w:r>
      <w:r w:rsidRPr="00404F46">
        <w:rPr>
          <w:rStyle w:val="A5"/>
          <w:rFonts w:ascii="Calibri" w:hAnsi="Calibri" w:cs="Calibri"/>
          <w:color w:val="auto"/>
          <w:lang w:val="sr-Cyrl-BA"/>
        </w:rPr>
        <w:t xml:space="preserve"> број </w:t>
      </w:r>
      <w:r w:rsidRPr="00404F46">
        <w:rPr>
          <w:rStyle w:val="A5"/>
          <w:rFonts w:ascii="Calibri" w:hAnsi="Calibri" w:cs="Calibri"/>
          <w:color w:val="000000" w:themeColor="text1"/>
          <w:lang w:val="sr-Cyrl-RS"/>
        </w:rPr>
        <w:t xml:space="preserve">T20 0 KTOV 0019583 21 од 3.7.2024. године </w:t>
      </w:r>
      <w:r>
        <w:rPr>
          <w:rStyle w:val="A5"/>
          <w:rFonts w:ascii="Calibri" w:hAnsi="Calibri" w:cs="Calibri"/>
          <w:color w:val="auto"/>
          <w:lang w:val="sr-Cyrl-BA"/>
        </w:rPr>
        <w:t>п</w:t>
      </w:r>
      <w:r w:rsidRPr="00404F46">
        <w:rPr>
          <w:rStyle w:val="A5"/>
          <w:rFonts w:ascii="Calibri" w:hAnsi="Calibri" w:cs="Calibri"/>
          <w:color w:val="auto"/>
          <w:lang w:val="sr-Cyrl-BA"/>
        </w:rPr>
        <w:t xml:space="preserve">ротив </w:t>
      </w:r>
      <w:r>
        <w:rPr>
          <w:rStyle w:val="A5"/>
          <w:rFonts w:ascii="Calibri" w:hAnsi="Calibri" w:cs="Calibri"/>
          <w:color w:val="auto"/>
          <w:lang w:val="sr-Cyrl-BA"/>
        </w:rPr>
        <w:t>три високошколске установе из Републике Српске</w:t>
      </w:r>
      <w:r w:rsidR="0057369E">
        <w:rPr>
          <w:rStyle w:val="A5"/>
          <w:rFonts w:ascii="Calibri" w:hAnsi="Calibri" w:cs="Calibri"/>
          <w:color w:val="auto"/>
          <w:lang w:val="sr-Cyrl-BA"/>
        </w:rPr>
        <w:t xml:space="preserve"> (видјети Поглавље 3.1.2) </w:t>
      </w:r>
      <w:r>
        <w:rPr>
          <w:rStyle w:val="A5"/>
          <w:rFonts w:ascii="Calibri" w:hAnsi="Calibri" w:cs="Calibri"/>
          <w:color w:val="auto"/>
          <w:lang w:val="sr-Cyrl-BA"/>
        </w:rPr>
        <w:t xml:space="preserve"> и одговорних лица </w:t>
      </w:r>
      <w:r w:rsidRPr="00404F46">
        <w:rPr>
          <w:rStyle w:val="A5"/>
          <w:rFonts w:ascii="Calibri" w:hAnsi="Calibri" w:cs="Calibri"/>
          <w:color w:val="auto"/>
          <w:lang w:val="sr-Cyrl-BA"/>
        </w:rPr>
        <w:t xml:space="preserve">на </w:t>
      </w:r>
      <w:r>
        <w:rPr>
          <w:rStyle w:val="A5"/>
          <w:rFonts w:ascii="Calibri" w:hAnsi="Calibri" w:cs="Calibri"/>
          <w:color w:val="auto"/>
          <w:lang w:val="sr-Cyrl-BA"/>
        </w:rPr>
        <w:t xml:space="preserve">тим установама, </w:t>
      </w:r>
      <w:r w:rsidRPr="00404F46">
        <w:rPr>
          <w:rStyle w:val="A5"/>
          <w:rFonts w:ascii="Calibri" w:hAnsi="Calibri" w:cs="Calibri"/>
          <w:color w:val="auto"/>
          <w:lang w:val="sr-Cyrl-BA"/>
        </w:rPr>
        <w:t xml:space="preserve">те других правних и физичких лица, </w:t>
      </w:r>
      <w:r w:rsidRPr="00404F46">
        <w:rPr>
          <w:rStyle w:val="A5"/>
          <w:rFonts w:ascii="Calibri" w:hAnsi="Calibri" w:cs="Calibri"/>
          <w:color w:val="000000" w:themeColor="text1"/>
          <w:lang w:val="sr-Cyrl-RS"/>
        </w:rPr>
        <w:t>што су се удружили у извршењу кривичних дјела Недопуштена трговина из члана 212. став 1. КЗ БиХ,  кривичних дјела Злоупотреба службеног положаја или овлашћења из члана 315. КЗ РС, те кривичних дјела Фалсификовања или уништавања службене исправе из члана 349. КЗ РС.</w:t>
      </w:r>
      <w:r w:rsidRPr="00404F46">
        <w:rPr>
          <w:rStyle w:val="FootnoteReference"/>
          <w:rFonts w:ascii="Calibri" w:hAnsi="Calibri" w:cs="Calibri"/>
          <w:color w:val="000000" w:themeColor="text1"/>
          <w:sz w:val="22"/>
          <w:szCs w:val="22"/>
          <w:lang w:val="sr-Cyrl-RS"/>
        </w:rPr>
        <w:footnoteReference w:id="9"/>
      </w:r>
      <w:r w:rsidR="00CC1FB4">
        <w:rPr>
          <w:rStyle w:val="A5"/>
          <w:rFonts w:ascii="Calibri" w:hAnsi="Calibri" w:cs="Calibri"/>
          <w:color w:val="000000" w:themeColor="text1"/>
          <w:lang w:val="sr-Cyrl-RS"/>
        </w:rPr>
        <w:t xml:space="preserve"> </w:t>
      </w:r>
      <w:r w:rsidR="003128B1">
        <w:rPr>
          <w:rStyle w:val="A5"/>
          <w:rFonts w:ascii="Calibri" w:hAnsi="Calibri" w:cs="Calibri"/>
          <w:color w:val="000000" w:themeColor="text1"/>
          <w:lang w:val="en-GB"/>
        </w:rPr>
        <w:t xml:space="preserve"> </w:t>
      </w:r>
      <w:r w:rsidR="003128B1">
        <w:rPr>
          <w:rStyle w:val="A5"/>
          <w:rFonts w:ascii="Calibri" w:hAnsi="Calibri" w:cs="Calibri"/>
          <w:color w:val="000000" w:themeColor="text1"/>
          <w:lang w:val="sr-Cyrl-RS"/>
        </w:rPr>
        <w:t>Пошто</w:t>
      </w:r>
      <w:r w:rsidR="00CC1FB4">
        <w:rPr>
          <w:rStyle w:val="A5"/>
          <w:rFonts w:ascii="Calibri" w:hAnsi="Calibri" w:cs="Calibri"/>
          <w:color w:val="000000" w:themeColor="text1"/>
          <w:lang w:val="sr-Cyrl-RS"/>
        </w:rPr>
        <w:t xml:space="preserve"> акција „Кластер“ ни након двије године није добила свој коначан епилог, Агенција је била у обавези да настави поступке вањског вредновања</w:t>
      </w:r>
      <w:r w:rsidR="0057369E">
        <w:rPr>
          <w:rStyle w:val="A5"/>
          <w:rFonts w:ascii="Calibri" w:hAnsi="Calibri" w:cs="Calibri"/>
          <w:color w:val="000000" w:themeColor="text1"/>
          <w:lang w:val="sr-Cyrl-RS"/>
        </w:rPr>
        <w:t xml:space="preserve"> и</w:t>
      </w:r>
      <w:r w:rsidR="00CC1FB4">
        <w:rPr>
          <w:rStyle w:val="A5"/>
          <w:rFonts w:ascii="Calibri" w:hAnsi="Calibri" w:cs="Calibri"/>
          <w:color w:val="000000" w:themeColor="text1"/>
          <w:lang w:val="sr-Cyrl-RS"/>
        </w:rPr>
        <w:t xml:space="preserve"> </w:t>
      </w:r>
      <w:r w:rsidR="0057369E">
        <w:rPr>
          <w:rStyle w:val="A5"/>
          <w:rFonts w:ascii="Calibri" w:hAnsi="Calibri" w:cs="Calibri"/>
          <w:color w:val="000000" w:themeColor="text1"/>
          <w:lang w:val="sr-Cyrl-RS"/>
        </w:rPr>
        <w:t xml:space="preserve">за установе које су обухваћене наведеном оптужницом,  </w:t>
      </w:r>
      <w:r w:rsidR="00CC1FB4">
        <w:rPr>
          <w:rStyle w:val="A5"/>
          <w:rFonts w:ascii="Calibri" w:hAnsi="Calibri" w:cs="Calibri"/>
          <w:color w:val="000000" w:themeColor="text1"/>
          <w:lang w:val="sr-Cyrl-RS"/>
        </w:rPr>
        <w:t>у складу са законским и подзаконским актима у области обезбјеђења квалитета, уз додатне контроле и пр</w:t>
      </w:r>
      <w:r w:rsidR="0057369E">
        <w:rPr>
          <w:rStyle w:val="A5"/>
          <w:rFonts w:ascii="Calibri" w:hAnsi="Calibri" w:cs="Calibri"/>
          <w:color w:val="000000" w:themeColor="text1"/>
          <w:lang w:val="sr-Cyrl-RS"/>
        </w:rPr>
        <w:t>о</w:t>
      </w:r>
      <w:r w:rsidR="00CC1FB4">
        <w:rPr>
          <w:rStyle w:val="A5"/>
          <w:rFonts w:ascii="Calibri" w:hAnsi="Calibri" w:cs="Calibri"/>
          <w:color w:val="000000" w:themeColor="text1"/>
          <w:lang w:val="sr-Cyrl-RS"/>
        </w:rPr>
        <w:t xml:space="preserve">вјере код надлежних органа ради утврђивања чињеница битних за спровођење поступка и доношење рјешења о </w:t>
      </w:r>
      <w:r w:rsidR="0057369E">
        <w:rPr>
          <w:rStyle w:val="A5"/>
          <w:rFonts w:ascii="Calibri" w:hAnsi="Calibri" w:cs="Calibri"/>
          <w:color w:val="000000" w:themeColor="text1"/>
          <w:lang w:val="sr-Cyrl-RS"/>
        </w:rPr>
        <w:t>исходу акредитацији</w:t>
      </w:r>
      <w:r w:rsidR="00CC1FB4">
        <w:rPr>
          <w:rStyle w:val="A5"/>
          <w:rFonts w:ascii="Calibri" w:hAnsi="Calibri" w:cs="Calibri"/>
          <w:color w:val="000000" w:themeColor="text1"/>
          <w:lang w:val="sr-Cyrl-RS"/>
        </w:rPr>
        <w:t xml:space="preserve">. </w:t>
      </w:r>
    </w:p>
    <w:p w:rsidR="007C3FCD" w:rsidRPr="007C3FCD" w:rsidRDefault="007C3FCD" w:rsidP="00637F6E">
      <w:pPr>
        <w:jc w:val="both"/>
        <w:rPr>
          <w:rFonts w:eastAsia="Calibri" w:cstheme="minorHAnsi"/>
          <w:sz w:val="22"/>
          <w:szCs w:val="22"/>
          <w:lang w:val="sr-Cyrl-RS"/>
        </w:rPr>
      </w:pPr>
    </w:p>
    <w:p w:rsidR="00637F6E" w:rsidRPr="00AF3A1D" w:rsidRDefault="00637F6E" w:rsidP="00637F6E">
      <w:pPr>
        <w:pStyle w:val="a1"/>
        <w:numPr>
          <w:ilvl w:val="2"/>
          <w:numId w:val="8"/>
        </w:numPr>
        <w:rPr>
          <w:rFonts w:asciiTheme="minorHAnsi" w:hAnsiTheme="minorHAnsi" w:cstheme="minorHAnsi"/>
          <w:color w:val="323E4F" w:themeColor="text2" w:themeShade="BF"/>
        </w:rPr>
      </w:pPr>
      <w:r w:rsidRPr="00AF3A1D">
        <w:rPr>
          <w:rFonts w:asciiTheme="minorHAnsi" w:hAnsiTheme="minorHAnsi" w:cstheme="minorHAnsi"/>
          <w:color w:val="323E4F" w:themeColor="text2" w:themeShade="BF"/>
        </w:rPr>
        <w:t xml:space="preserve">Нове пријаве за акредитацију </w:t>
      </w:r>
    </w:p>
    <w:p w:rsidR="00637F6E" w:rsidRPr="005D1430" w:rsidRDefault="00637F6E" w:rsidP="00637F6E">
      <w:pPr>
        <w:spacing w:line="276" w:lineRule="auto"/>
        <w:jc w:val="both"/>
        <w:rPr>
          <w:rFonts w:eastAsia="Calibri" w:cstheme="minorHAnsi"/>
          <w:sz w:val="22"/>
          <w:szCs w:val="22"/>
          <w:lang w:val="sr-Cyrl-RS"/>
        </w:rPr>
      </w:pPr>
    </w:p>
    <w:p w:rsidR="00637F6E" w:rsidRPr="00AF3A1D" w:rsidRDefault="00637F6E" w:rsidP="00AF3A1D">
      <w:pPr>
        <w:shd w:val="clear" w:color="auto" w:fill="FFFFFF"/>
        <w:spacing w:after="240" w:line="276" w:lineRule="auto"/>
        <w:jc w:val="both"/>
        <w:rPr>
          <w:rStyle w:val="A5"/>
          <w:rFonts w:ascii="Calibri" w:hAnsi="Calibri" w:cs="Calibri"/>
          <w:color w:val="auto"/>
          <w:lang w:val="sr-Cyrl-BA"/>
        </w:rPr>
      </w:pPr>
      <w:r w:rsidRPr="008F1366">
        <w:rPr>
          <w:rStyle w:val="A5"/>
          <w:rFonts w:ascii="Calibri" w:hAnsi="Calibri" w:cs="Calibri"/>
          <w:color w:val="auto"/>
          <w:lang w:val="sr-Cyrl-BA"/>
        </w:rPr>
        <w:t>У 202</w:t>
      </w:r>
      <w:r w:rsidRPr="008F1366">
        <w:rPr>
          <w:rStyle w:val="A5"/>
          <w:rFonts w:ascii="Calibri" w:hAnsi="Calibri" w:cs="Calibri"/>
          <w:color w:val="auto"/>
          <w:lang w:val="en-GB"/>
        </w:rPr>
        <w:t>4</w:t>
      </w:r>
      <w:r w:rsidRPr="008F1366">
        <w:rPr>
          <w:rStyle w:val="A5"/>
          <w:rFonts w:ascii="Calibri" w:hAnsi="Calibri" w:cs="Calibri"/>
          <w:color w:val="auto"/>
          <w:lang w:val="sr-Cyrl-BA"/>
        </w:rPr>
        <w:t xml:space="preserve">. години </w:t>
      </w:r>
      <w:r w:rsidR="00AF3A1D">
        <w:rPr>
          <w:rStyle w:val="A5"/>
          <w:rFonts w:ascii="Calibri" w:hAnsi="Calibri" w:cs="Calibri"/>
          <w:color w:val="auto"/>
          <w:lang w:val="sr-Cyrl-BA"/>
        </w:rPr>
        <w:t xml:space="preserve">двије </w:t>
      </w:r>
      <w:r w:rsidRPr="008F1366">
        <w:rPr>
          <w:rStyle w:val="A5"/>
          <w:rFonts w:ascii="Calibri" w:hAnsi="Calibri" w:cs="Calibri"/>
          <w:color w:val="auto"/>
          <w:lang w:val="sr-Cyrl-BA"/>
        </w:rPr>
        <w:t>високошколск</w:t>
      </w:r>
      <w:r w:rsidR="00AF3A1D">
        <w:rPr>
          <w:rStyle w:val="A5"/>
          <w:rFonts w:ascii="Calibri" w:hAnsi="Calibri" w:cs="Calibri"/>
          <w:color w:val="auto"/>
          <w:lang w:val="sr-Cyrl-RS"/>
        </w:rPr>
        <w:t>е</w:t>
      </w:r>
      <w:r w:rsidRPr="008F1366">
        <w:rPr>
          <w:rStyle w:val="A5"/>
          <w:rFonts w:ascii="Calibri" w:hAnsi="Calibri" w:cs="Calibri"/>
          <w:color w:val="auto"/>
          <w:lang w:val="sr-Cyrl-BA"/>
        </w:rPr>
        <w:t xml:space="preserve"> установ</w:t>
      </w:r>
      <w:r w:rsidR="00AF3A1D">
        <w:rPr>
          <w:rStyle w:val="A5"/>
          <w:rFonts w:ascii="Calibri" w:hAnsi="Calibri" w:cs="Calibri"/>
          <w:color w:val="auto"/>
          <w:lang w:val="sr-Cyrl-BA"/>
        </w:rPr>
        <w:t>е</w:t>
      </w:r>
      <w:r w:rsidRPr="008F1366">
        <w:rPr>
          <w:rStyle w:val="A5"/>
          <w:rFonts w:ascii="Calibri" w:hAnsi="Calibri" w:cs="Calibri"/>
          <w:color w:val="auto"/>
          <w:lang w:val="sr-Cyrl-BA"/>
        </w:rPr>
        <w:t xml:space="preserve"> </w:t>
      </w:r>
      <w:r w:rsidR="00AF3A1D">
        <w:rPr>
          <w:rStyle w:val="A5"/>
          <w:rFonts w:ascii="Calibri" w:hAnsi="Calibri" w:cs="Calibri"/>
          <w:color w:val="auto"/>
          <w:lang w:val="sr-Cyrl-BA"/>
        </w:rPr>
        <w:t>су</w:t>
      </w:r>
      <w:r w:rsidRPr="008F1366">
        <w:rPr>
          <w:rStyle w:val="A5"/>
          <w:rFonts w:ascii="Calibri" w:hAnsi="Calibri" w:cs="Calibri"/>
          <w:color w:val="auto"/>
          <w:lang w:val="sr-Cyrl-BA"/>
        </w:rPr>
        <w:t xml:space="preserve"> поднијел</w:t>
      </w:r>
      <w:r w:rsidR="00AF3A1D">
        <w:rPr>
          <w:rStyle w:val="A5"/>
          <w:rFonts w:ascii="Calibri" w:hAnsi="Calibri" w:cs="Calibri"/>
          <w:color w:val="auto"/>
          <w:lang w:val="sr-Cyrl-BA"/>
        </w:rPr>
        <w:t>е</w:t>
      </w:r>
      <w:r w:rsidRPr="008F1366">
        <w:rPr>
          <w:rStyle w:val="A5"/>
          <w:rFonts w:ascii="Calibri" w:hAnsi="Calibri" w:cs="Calibri"/>
          <w:color w:val="auto"/>
          <w:lang w:val="sr-Cyrl-BA"/>
        </w:rPr>
        <w:t xml:space="preserve"> </w:t>
      </w:r>
      <w:r w:rsidR="00AF3A1D">
        <w:rPr>
          <w:rStyle w:val="A5"/>
          <w:rFonts w:ascii="Calibri" w:hAnsi="Calibri" w:cs="Calibri"/>
          <w:color w:val="auto"/>
          <w:lang w:val="sr-Cyrl-BA"/>
        </w:rPr>
        <w:t>захтјеве</w:t>
      </w:r>
      <w:r w:rsidRPr="008F1366">
        <w:rPr>
          <w:rStyle w:val="A5"/>
          <w:rFonts w:ascii="Calibri" w:hAnsi="Calibri" w:cs="Calibri"/>
          <w:color w:val="auto"/>
          <w:lang w:val="sr-Cyrl-BA"/>
        </w:rPr>
        <w:t xml:space="preserve"> за акредитацију </w:t>
      </w:r>
      <w:r w:rsidR="00AF3A1D">
        <w:rPr>
          <w:rStyle w:val="A5"/>
          <w:rFonts w:ascii="Calibri" w:hAnsi="Calibri" w:cs="Calibri"/>
          <w:color w:val="auto"/>
          <w:lang w:val="sr-Cyrl-BA"/>
        </w:rPr>
        <w:t xml:space="preserve">установа и/или студијских програма: </w:t>
      </w:r>
    </w:p>
    <w:p w:rsidR="00637F6E" w:rsidRPr="00685F6D" w:rsidRDefault="00637F6E" w:rsidP="00685F6D">
      <w:pPr>
        <w:pStyle w:val="ListParagraph"/>
        <w:numPr>
          <w:ilvl w:val="0"/>
          <w:numId w:val="10"/>
        </w:numPr>
        <w:shd w:val="clear" w:color="auto" w:fill="FFFFFF"/>
        <w:spacing w:after="0"/>
        <w:jc w:val="both"/>
        <w:rPr>
          <w:rStyle w:val="A5"/>
          <w:rFonts w:ascii="Calibri" w:hAnsi="Calibri" w:cs="Calibri"/>
          <w:color w:val="auto"/>
          <w:lang w:val="sr-Cyrl-RS"/>
        </w:rPr>
      </w:pPr>
      <w:r w:rsidRPr="008F1366">
        <w:rPr>
          <w:rStyle w:val="A5"/>
          <w:rFonts w:ascii="Calibri" w:hAnsi="Calibri" w:cs="Calibri"/>
          <w:color w:val="auto"/>
          <w:lang w:val="sr-Cyrl-BA"/>
        </w:rPr>
        <w:t xml:space="preserve">Висока медицинска школа здравства Добој – кластерска акредитација </w:t>
      </w:r>
      <w:r w:rsidR="00AF3A1D">
        <w:rPr>
          <w:rStyle w:val="A5"/>
          <w:rFonts w:ascii="Calibri" w:hAnsi="Calibri" w:cs="Calibri"/>
          <w:color w:val="auto"/>
          <w:lang w:val="sr-Cyrl-RS"/>
        </w:rPr>
        <w:t>три</w:t>
      </w:r>
      <w:r w:rsidRPr="008F1366">
        <w:rPr>
          <w:rStyle w:val="A5"/>
          <w:rFonts w:ascii="Calibri" w:hAnsi="Calibri" w:cs="Calibri"/>
          <w:color w:val="auto"/>
          <w:lang w:val="sr-Cyrl-RS"/>
        </w:rPr>
        <w:t xml:space="preserve"> студијска програма </w:t>
      </w:r>
      <w:r w:rsidRPr="00685F6D">
        <w:rPr>
          <w:rStyle w:val="A5"/>
          <w:rFonts w:ascii="Calibri" w:hAnsi="Calibri" w:cs="Calibri"/>
          <w:color w:val="auto"/>
          <w:lang w:val="sr-Cyrl-RS"/>
        </w:rPr>
        <w:t>првог циклуса: Здравствена њега, Физи</w:t>
      </w:r>
      <w:r w:rsidRPr="00685F6D">
        <w:rPr>
          <w:rStyle w:val="A5"/>
          <w:rFonts w:ascii="Calibri" w:hAnsi="Calibri" w:cs="Calibri"/>
          <w:color w:val="auto"/>
          <w:lang w:val="sr-Latn-RS"/>
        </w:rPr>
        <w:t>o</w:t>
      </w:r>
      <w:r w:rsidRPr="00685F6D">
        <w:rPr>
          <w:rStyle w:val="A5"/>
          <w:rFonts w:ascii="Calibri" w:hAnsi="Calibri" w:cs="Calibri"/>
          <w:color w:val="auto"/>
          <w:lang w:val="sr-Cyrl-RS"/>
        </w:rPr>
        <w:t>терапија и радна терапија и Лабора</w:t>
      </w:r>
      <w:r w:rsidR="00B46672" w:rsidRPr="00685F6D">
        <w:rPr>
          <w:rStyle w:val="A5"/>
          <w:rFonts w:ascii="Calibri" w:hAnsi="Calibri" w:cs="Calibri"/>
          <w:color w:val="auto"/>
          <w:lang w:val="sr-Cyrl-RS"/>
        </w:rPr>
        <w:t>торијско-медицинско инжењерство</w:t>
      </w:r>
    </w:p>
    <w:p w:rsidR="00B46672" w:rsidRPr="00B46672" w:rsidRDefault="00B46672" w:rsidP="00B46672">
      <w:pPr>
        <w:pStyle w:val="ListParagraph"/>
        <w:shd w:val="clear" w:color="auto" w:fill="FFFFFF"/>
        <w:spacing w:after="0"/>
        <w:ind w:left="1440"/>
        <w:jc w:val="both"/>
        <w:rPr>
          <w:rStyle w:val="A5"/>
          <w:rFonts w:ascii="Calibri" w:hAnsi="Calibri" w:cs="Calibri"/>
          <w:color w:val="auto"/>
          <w:sz w:val="8"/>
          <w:szCs w:val="8"/>
          <w:lang w:val="sr-Cyrl-RS"/>
        </w:rPr>
      </w:pPr>
    </w:p>
    <w:p w:rsidR="008B0D11" w:rsidRDefault="008B0D11" w:rsidP="00B46672">
      <w:pPr>
        <w:pStyle w:val="ListParagraph"/>
        <w:numPr>
          <w:ilvl w:val="0"/>
          <w:numId w:val="10"/>
        </w:numPr>
        <w:shd w:val="clear" w:color="auto" w:fill="FFFFFF"/>
        <w:spacing w:after="0"/>
        <w:jc w:val="both"/>
      </w:pPr>
      <w:r>
        <w:t>Универзитет Синергија Бијељина</w:t>
      </w:r>
      <w:r w:rsidR="003C1EAA" w:rsidRPr="00B46672">
        <w:rPr>
          <w:lang w:val="sr-Cyrl-RS"/>
        </w:rPr>
        <w:t xml:space="preserve"> – реакредитација установе и кластерска акредитација четири студијска програма: </w:t>
      </w:r>
      <w:r>
        <w:t>Информационе технологије (240 ECTS)</w:t>
      </w:r>
      <w:r w:rsidR="003C1EAA" w:rsidRPr="00B46672">
        <w:rPr>
          <w:lang w:val="sr-Cyrl-RS"/>
        </w:rPr>
        <w:t xml:space="preserve">, </w:t>
      </w:r>
      <w:r>
        <w:t>Туризам и хотелијерство (240 ECTS)</w:t>
      </w:r>
      <w:r w:rsidR="003C1EAA" w:rsidRPr="00B46672">
        <w:rPr>
          <w:lang w:val="sr-Cyrl-RS"/>
        </w:rPr>
        <w:t xml:space="preserve">, </w:t>
      </w:r>
      <w:r>
        <w:t>Пословна економија (240 ECTS)</w:t>
      </w:r>
      <w:r w:rsidR="003C1EAA" w:rsidRPr="00B46672">
        <w:rPr>
          <w:lang w:val="sr-Cyrl-RS"/>
        </w:rPr>
        <w:t xml:space="preserve"> и </w:t>
      </w:r>
      <w:r>
        <w:t>Пословна економија (</w:t>
      </w:r>
      <w:r w:rsidR="003C1EAA" w:rsidRPr="00B46672">
        <w:rPr>
          <w:lang w:val="sr-Cyrl-RS"/>
        </w:rPr>
        <w:t>други циклус</w:t>
      </w:r>
      <w:r>
        <w:t>)</w:t>
      </w:r>
    </w:p>
    <w:p w:rsidR="008B0D11" w:rsidRDefault="008B0D11" w:rsidP="008B0D11"/>
    <w:p w:rsidR="00637F6E" w:rsidRDefault="00637F6E" w:rsidP="00637F6E">
      <w:pPr>
        <w:shd w:val="clear" w:color="auto" w:fill="FFFFFF"/>
        <w:spacing w:line="276" w:lineRule="auto"/>
        <w:jc w:val="both"/>
        <w:rPr>
          <w:rFonts w:ascii="Calibri" w:eastAsiaTheme="minorEastAsia" w:hAnsi="Calibri" w:cs="Calibri"/>
          <w:sz w:val="22"/>
          <w:szCs w:val="22"/>
          <w:lang w:val="sr-Cyrl-BA" w:eastAsia="bs-Latn-BA"/>
        </w:rPr>
      </w:pPr>
      <w:r w:rsidRPr="008F1366">
        <w:rPr>
          <w:rStyle w:val="A5"/>
          <w:rFonts w:ascii="Calibri" w:eastAsiaTheme="minorEastAsia" w:hAnsi="Calibri" w:cs="Calibri"/>
          <w:color w:val="auto"/>
          <w:lang w:val="sr-Cyrl-BA" w:eastAsia="bs-Latn-BA"/>
        </w:rPr>
        <w:t xml:space="preserve">За </w:t>
      </w:r>
      <w:r w:rsidRPr="008F1366">
        <w:rPr>
          <w:rStyle w:val="A5"/>
          <w:rFonts w:ascii="Calibri" w:eastAsiaTheme="minorEastAsia" w:hAnsi="Calibri" w:cs="Calibri"/>
          <w:color w:val="auto"/>
          <w:lang w:val="sr-Cyrl-RS" w:eastAsia="bs-Latn-BA"/>
        </w:rPr>
        <w:t xml:space="preserve">наведене </w:t>
      </w:r>
      <w:r w:rsidR="008A0925">
        <w:rPr>
          <w:rStyle w:val="A5"/>
          <w:rFonts w:ascii="Calibri" w:eastAsiaTheme="minorEastAsia" w:hAnsi="Calibri" w:cs="Calibri"/>
          <w:color w:val="auto"/>
          <w:lang w:val="sr-Cyrl-RS" w:eastAsia="bs-Latn-BA"/>
        </w:rPr>
        <w:t xml:space="preserve">установе и </w:t>
      </w:r>
      <w:r w:rsidRPr="008F1366">
        <w:rPr>
          <w:rStyle w:val="A5"/>
          <w:rFonts w:ascii="Calibri" w:eastAsiaTheme="minorEastAsia" w:hAnsi="Calibri" w:cs="Calibri"/>
          <w:color w:val="auto"/>
          <w:lang w:val="sr-Cyrl-RS" w:eastAsia="bs-Latn-BA"/>
        </w:rPr>
        <w:t>студијске програме</w:t>
      </w:r>
      <w:r w:rsidR="008A0925">
        <w:rPr>
          <w:rStyle w:val="A5"/>
          <w:rFonts w:ascii="Calibri" w:eastAsiaTheme="minorEastAsia" w:hAnsi="Calibri" w:cs="Calibri"/>
          <w:color w:val="auto"/>
          <w:lang w:val="sr-Cyrl-BA" w:eastAsia="bs-Latn-BA"/>
        </w:rPr>
        <w:t xml:space="preserve"> </w:t>
      </w:r>
      <w:r w:rsidRPr="008F1366">
        <w:rPr>
          <w:rStyle w:val="A5"/>
          <w:rFonts w:ascii="Calibri" w:eastAsiaTheme="minorEastAsia" w:hAnsi="Calibri" w:cs="Calibri"/>
          <w:color w:val="auto"/>
          <w:lang w:val="sr-Cyrl-BA" w:eastAsia="bs-Latn-BA"/>
        </w:rPr>
        <w:t xml:space="preserve"> у току</w:t>
      </w:r>
      <w:r w:rsidR="008A0925">
        <w:rPr>
          <w:rStyle w:val="A5"/>
          <w:rFonts w:ascii="Calibri" w:eastAsiaTheme="minorEastAsia" w:hAnsi="Calibri" w:cs="Calibri"/>
          <w:color w:val="auto"/>
          <w:lang w:val="sr-Cyrl-BA" w:eastAsia="bs-Latn-BA"/>
        </w:rPr>
        <w:t xml:space="preserve"> је</w:t>
      </w:r>
      <w:r w:rsidRPr="008F1366">
        <w:rPr>
          <w:rStyle w:val="A5"/>
          <w:rFonts w:ascii="Calibri" w:eastAsiaTheme="minorEastAsia" w:hAnsi="Calibri" w:cs="Calibri"/>
          <w:color w:val="auto"/>
          <w:lang w:val="sr-Cyrl-BA" w:eastAsia="bs-Latn-BA"/>
        </w:rPr>
        <w:t xml:space="preserve"> поступак провјере легитимности за приступ акредитацији код надлежних органа, Републичке управе за инспекцијске послове</w:t>
      </w:r>
      <w:r w:rsidRPr="008F1366">
        <w:rPr>
          <w:rStyle w:val="A5"/>
          <w:rFonts w:ascii="Calibri" w:eastAsiaTheme="minorEastAsia" w:hAnsi="Calibri" w:cs="Calibri"/>
          <w:color w:val="auto"/>
          <w:lang w:eastAsia="bs-Latn-BA"/>
        </w:rPr>
        <w:t xml:space="preserve"> </w:t>
      </w:r>
      <w:r w:rsidR="008A0925">
        <w:rPr>
          <w:rStyle w:val="A5"/>
          <w:rFonts w:ascii="Calibri" w:eastAsiaTheme="minorEastAsia" w:hAnsi="Calibri" w:cs="Calibri"/>
          <w:color w:val="auto"/>
          <w:lang w:val="sr-Cyrl-RS" w:eastAsia="bs-Latn-BA"/>
        </w:rPr>
        <w:t xml:space="preserve"> и </w:t>
      </w:r>
      <w:r w:rsidR="008A0925" w:rsidRPr="00A8211F">
        <w:rPr>
          <w:rStyle w:val="A5"/>
          <w:rFonts w:ascii="Calibri" w:eastAsiaTheme="minorEastAsia" w:hAnsi="Calibri" w:cs="Calibri"/>
          <w:lang w:val="sr-Cyrl-BA" w:eastAsia="bs-Latn-BA"/>
        </w:rPr>
        <w:t xml:space="preserve">Министарства, </w:t>
      </w:r>
      <w:r w:rsidR="008A0925">
        <w:rPr>
          <w:rStyle w:val="A5"/>
          <w:rFonts w:ascii="Calibri" w:eastAsiaTheme="minorEastAsia" w:hAnsi="Calibri" w:cs="Calibri"/>
          <w:lang w:val="sr-Cyrl-BA" w:eastAsia="bs-Latn-BA"/>
        </w:rPr>
        <w:t xml:space="preserve"> </w:t>
      </w:r>
      <w:r w:rsidRPr="008F1366">
        <w:rPr>
          <w:rStyle w:val="A5"/>
          <w:rFonts w:ascii="Calibri" w:eastAsiaTheme="minorEastAsia" w:hAnsi="Calibri" w:cs="Calibri"/>
          <w:color w:val="auto"/>
          <w:lang w:val="sr-Cyrl-BA" w:eastAsia="bs-Latn-BA"/>
        </w:rPr>
        <w:t xml:space="preserve">као и израда табела покривености наставе. </w:t>
      </w:r>
      <w:r w:rsidR="008A0925">
        <w:rPr>
          <w:rStyle w:val="A5"/>
          <w:rFonts w:ascii="Calibri" w:eastAsiaTheme="minorEastAsia" w:hAnsi="Calibri" w:cs="Calibri"/>
          <w:color w:val="auto"/>
          <w:lang w:val="sr-Cyrl-BA" w:eastAsia="bs-Latn-BA"/>
        </w:rPr>
        <w:t xml:space="preserve"> </w:t>
      </w:r>
      <w:r w:rsidRPr="008F1366">
        <w:rPr>
          <w:rStyle w:val="A5"/>
          <w:rFonts w:ascii="Calibri" w:eastAsiaTheme="minorEastAsia" w:hAnsi="Calibri" w:cs="Calibri"/>
          <w:color w:val="auto"/>
          <w:lang w:val="sr-Cyrl-BA" w:eastAsia="bs-Latn-BA"/>
        </w:rPr>
        <w:t xml:space="preserve">Провјера легитимности се спроводи с циљем утврђивања испуњености свих законом прописаних услова за обављање дјелатности високог образовања, </w:t>
      </w:r>
      <w:r w:rsidR="003C1EAA">
        <w:rPr>
          <w:rStyle w:val="A5"/>
          <w:rFonts w:ascii="Calibri" w:eastAsiaTheme="minorEastAsia" w:hAnsi="Calibri" w:cs="Calibri"/>
          <w:color w:val="auto"/>
          <w:lang w:val="sr-Cyrl-BA" w:eastAsia="bs-Latn-BA"/>
        </w:rPr>
        <w:t xml:space="preserve">а </w:t>
      </w:r>
      <w:r w:rsidRPr="008F1366">
        <w:rPr>
          <w:rStyle w:val="A5"/>
          <w:rFonts w:ascii="Calibri" w:eastAsiaTheme="minorEastAsia" w:hAnsi="Calibri" w:cs="Calibri"/>
          <w:color w:val="auto"/>
          <w:lang w:val="sr-Cyrl-BA" w:eastAsia="bs-Latn-BA"/>
        </w:rPr>
        <w:t>што представља предуслов за покретање поступка акредитације.</w:t>
      </w:r>
      <w:r w:rsidRPr="008F1366">
        <w:rPr>
          <w:rFonts w:ascii="Calibri" w:eastAsiaTheme="minorEastAsia" w:hAnsi="Calibri" w:cs="Calibri"/>
          <w:sz w:val="22"/>
          <w:szCs w:val="22"/>
          <w:lang w:val="sr-Cyrl-BA" w:eastAsia="bs-Latn-BA"/>
        </w:rPr>
        <w:t xml:space="preserve"> </w:t>
      </w:r>
    </w:p>
    <w:p w:rsidR="000C3C72" w:rsidRPr="004262FF" w:rsidRDefault="000C3C72" w:rsidP="00637F6E">
      <w:pPr>
        <w:shd w:val="clear" w:color="auto" w:fill="FFFFFF"/>
        <w:spacing w:line="276" w:lineRule="auto"/>
        <w:jc w:val="both"/>
        <w:rPr>
          <w:rStyle w:val="A5"/>
          <w:rFonts w:ascii="Calibri" w:eastAsiaTheme="minorEastAsia" w:hAnsi="Calibri" w:cs="Calibri"/>
          <w:color w:val="auto"/>
          <w:lang w:val="sr-Cyrl-BA" w:eastAsia="bs-Latn-BA"/>
        </w:rPr>
      </w:pPr>
    </w:p>
    <w:p w:rsidR="00637F6E" w:rsidRPr="00685F6D" w:rsidRDefault="00637F6E" w:rsidP="00637F6E">
      <w:pPr>
        <w:pStyle w:val="a1"/>
        <w:numPr>
          <w:ilvl w:val="2"/>
          <w:numId w:val="8"/>
        </w:numPr>
        <w:spacing w:before="0"/>
        <w:rPr>
          <w:rFonts w:asciiTheme="minorHAnsi" w:hAnsiTheme="minorHAnsi" w:cstheme="minorHAnsi"/>
          <w:color w:val="323E4F" w:themeColor="text2" w:themeShade="BF"/>
        </w:rPr>
      </w:pPr>
      <w:r w:rsidRPr="00685F6D">
        <w:rPr>
          <w:rFonts w:asciiTheme="minorHAnsi" w:hAnsiTheme="minorHAnsi" w:cstheme="minorHAnsi"/>
          <w:color w:val="323E4F" w:themeColor="text2" w:themeShade="BF"/>
        </w:rPr>
        <w:t xml:space="preserve">Провођење поступака акредитације </w:t>
      </w:r>
    </w:p>
    <w:p w:rsidR="00637F6E" w:rsidRDefault="00637F6E" w:rsidP="00637F6E">
      <w:pPr>
        <w:spacing w:line="276" w:lineRule="auto"/>
        <w:jc w:val="both"/>
        <w:rPr>
          <w:rFonts w:eastAsia="Calibri" w:cstheme="minorHAnsi"/>
          <w:sz w:val="22"/>
          <w:szCs w:val="22"/>
          <w:lang w:val="sr-Latn-BA"/>
        </w:rPr>
      </w:pPr>
    </w:p>
    <w:p w:rsidR="00637F6E" w:rsidRPr="00BE477F" w:rsidRDefault="00637F6E" w:rsidP="00BE477F">
      <w:pPr>
        <w:shd w:val="clear" w:color="auto" w:fill="FFFFFF"/>
        <w:spacing w:after="240" w:line="276" w:lineRule="auto"/>
        <w:jc w:val="both"/>
        <w:rPr>
          <w:rStyle w:val="A5"/>
          <w:rFonts w:ascii="Calibri" w:hAnsi="Calibri" w:cs="Calibri"/>
          <w:lang w:val="sr-Cyrl-BA"/>
        </w:rPr>
      </w:pPr>
      <w:r w:rsidRPr="00F939EE">
        <w:rPr>
          <w:rStyle w:val="A5"/>
          <w:rFonts w:ascii="Calibri" w:hAnsi="Calibri" w:cs="Calibri"/>
          <w:lang w:val="sr-Cyrl-BA"/>
        </w:rPr>
        <w:t>У 202</w:t>
      </w:r>
      <w:r>
        <w:rPr>
          <w:rStyle w:val="A5"/>
          <w:rFonts w:ascii="Calibri" w:hAnsi="Calibri" w:cs="Calibri"/>
          <w:lang w:val="sr-Cyrl-BA"/>
        </w:rPr>
        <w:t>4</w:t>
      </w:r>
      <w:r w:rsidRPr="00F939EE">
        <w:rPr>
          <w:rStyle w:val="A5"/>
          <w:rFonts w:ascii="Calibri" w:hAnsi="Calibri" w:cs="Calibri"/>
          <w:lang w:val="sr-Cyrl-BA"/>
        </w:rPr>
        <w:t xml:space="preserve">. години </w:t>
      </w:r>
      <w:r>
        <w:rPr>
          <w:rStyle w:val="A5"/>
          <w:rFonts w:ascii="Calibri" w:hAnsi="Calibri" w:cs="Calibri"/>
          <w:lang w:val="sr-Cyrl-BA"/>
        </w:rPr>
        <w:t>су спровођени</w:t>
      </w:r>
      <w:r w:rsidRPr="00F939EE">
        <w:rPr>
          <w:rStyle w:val="A5"/>
          <w:rFonts w:ascii="Calibri" w:hAnsi="Calibri" w:cs="Calibri"/>
          <w:lang w:val="sr-Cyrl-BA"/>
        </w:rPr>
        <w:t xml:space="preserve"> поступци </w:t>
      </w:r>
      <w:r>
        <w:rPr>
          <w:rStyle w:val="A5"/>
          <w:rFonts w:ascii="Calibri" w:hAnsi="Calibri" w:cs="Calibri"/>
          <w:lang w:val="sr-Cyrl-BA"/>
        </w:rPr>
        <w:t>(ре)</w:t>
      </w:r>
      <w:r w:rsidRPr="00F939EE">
        <w:rPr>
          <w:rStyle w:val="A5"/>
          <w:rFonts w:ascii="Calibri" w:hAnsi="Calibri" w:cs="Calibri"/>
          <w:lang w:val="sr-Cyrl-BA"/>
        </w:rPr>
        <w:t>акредитације за сљедеће високошколске установе</w:t>
      </w:r>
      <w:r>
        <w:rPr>
          <w:rStyle w:val="A5"/>
          <w:rFonts w:ascii="Calibri" w:hAnsi="Calibri" w:cs="Calibri"/>
          <w:lang w:val="sr-Cyrl-BA"/>
        </w:rPr>
        <w:t>/студијске програме: </w:t>
      </w:r>
    </w:p>
    <w:p w:rsidR="005C38AB" w:rsidRDefault="00637F6E" w:rsidP="00637F6E">
      <w:pPr>
        <w:pStyle w:val="ListParagraph"/>
        <w:numPr>
          <w:ilvl w:val="0"/>
          <w:numId w:val="1"/>
        </w:numPr>
        <w:jc w:val="both"/>
        <w:rPr>
          <w:rStyle w:val="A5"/>
          <w:rFonts w:ascii="Calibri" w:hAnsi="Calibri" w:cs="Calibri"/>
          <w:color w:val="auto"/>
          <w:lang w:val="sr-Cyrl-BA"/>
        </w:rPr>
      </w:pPr>
      <w:r w:rsidRPr="008F1366">
        <w:rPr>
          <w:rStyle w:val="A5"/>
          <w:rFonts w:ascii="Calibri" w:hAnsi="Calibri" w:cs="Calibri"/>
          <w:color w:val="auto"/>
          <w:lang w:val="sr-Cyrl-BA"/>
        </w:rPr>
        <w:t>У</w:t>
      </w:r>
      <w:r w:rsidR="005C38AB">
        <w:rPr>
          <w:rStyle w:val="A5"/>
          <w:rFonts w:ascii="Calibri" w:hAnsi="Calibri" w:cs="Calibri"/>
          <w:color w:val="auto"/>
          <w:lang w:val="sr-Cyrl-BA"/>
        </w:rPr>
        <w:t xml:space="preserve">ниверзитет у Источном Сарајеву </w:t>
      </w:r>
    </w:p>
    <w:p w:rsidR="005C38AB" w:rsidRDefault="00637F6E" w:rsidP="005C38AB">
      <w:pPr>
        <w:pStyle w:val="ListParagraph"/>
        <w:numPr>
          <w:ilvl w:val="1"/>
          <w:numId w:val="1"/>
        </w:numPr>
        <w:jc w:val="both"/>
        <w:rPr>
          <w:rStyle w:val="A5"/>
          <w:rFonts w:ascii="Calibri" w:hAnsi="Calibri" w:cs="Calibri"/>
          <w:color w:val="auto"/>
          <w:lang w:val="sr-Cyrl-BA"/>
        </w:rPr>
      </w:pPr>
      <w:r w:rsidRPr="008F1366">
        <w:rPr>
          <w:rStyle w:val="A5"/>
          <w:rFonts w:ascii="Calibri" w:hAnsi="Calibri" w:cs="Calibri"/>
          <w:color w:val="auto"/>
          <w:lang w:val="sr-Cyrl-BA"/>
        </w:rPr>
        <w:t>реакредитација установе и акредитација студијских програма у кластеру из научне области друштвених наука, уже научно поље економија и пословање</w:t>
      </w:r>
      <w:r w:rsidR="00D60FF3">
        <w:rPr>
          <w:rStyle w:val="A5"/>
          <w:rFonts w:ascii="Calibri" w:hAnsi="Calibri" w:cs="Calibri"/>
          <w:color w:val="auto"/>
          <w:lang w:val="sr-Cyrl-BA"/>
        </w:rPr>
        <w:t xml:space="preserve"> (шест студијских програма)</w:t>
      </w:r>
    </w:p>
    <w:p w:rsidR="005C38AB" w:rsidRDefault="00637F6E" w:rsidP="005C38AB">
      <w:pPr>
        <w:pStyle w:val="ListParagraph"/>
        <w:numPr>
          <w:ilvl w:val="1"/>
          <w:numId w:val="1"/>
        </w:numPr>
        <w:jc w:val="both"/>
        <w:rPr>
          <w:rStyle w:val="A5"/>
          <w:rFonts w:ascii="Calibri" w:hAnsi="Calibri" w:cs="Calibri"/>
          <w:color w:val="auto"/>
          <w:lang w:val="sr-Cyrl-BA"/>
        </w:rPr>
      </w:pPr>
      <w:r w:rsidRPr="008F1366">
        <w:rPr>
          <w:rStyle w:val="A5"/>
          <w:rFonts w:ascii="Calibri" w:hAnsi="Calibri" w:cs="Calibri"/>
          <w:color w:val="auto"/>
          <w:lang w:val="sr-Cyrl-BA"/>
        </w:rPr>
        <w:t>акредитација једног студијског програма нак</w:t>
      </w:r>
      <w:r>
        <w:rPr>
          <w:rStyle w:val="A5"/>
          <w:rFonts w:ascii="Calibri" w:hAnsi="Calibri" w:cs="Calibri"/>
          <w:color w:val="auto"/>
          <w:lang w:val="sr-Cyrl-BA"/>
        </w:rPr>
        <w:t>он писма очекивања</w:t>
      </w:r>
      <w:r w:rsidR="005C38AB">
        <w:rPr>
          <w:rStyle w:val="A5"/>
          <w:rFonts w:ascii="Calibri" w:hAnsi="Calibri" w:cs="Calibri"/>
          <w:color w:val="auto"/>
          <w:lang w:val="sr-Cyrl-BA"/>
        </w:rPr>
        <w:t>,</w:t>
      </w:r>
    </w:p>
    <w:p w:rsidR="00637F6E" w:rsidRPr="008F1366" w:rsidRDefault="00637F6E" w:rsidP="005C38AB">
      <w:pPr>
        <w:pStyle w:val="ListParagraph"/>
        <w:numPr>
          <w:ilvl w:val="1"/>
          <w:numId w:val="1"/>
        </w:numPr>
        <w:jc w:val="both"/>
        <w:rPr>
          <w:rStyle w:val="A5"/>
          <w:rFonts w:ascii="Calibri" w:hAnsi="Calibri" w:cs="Calibri"/>
          <w:color w:val="auto"/>
          <w:lang w:val="sr-Cyrl-BA"/>
        </w:rPr>
      </w:pPr>
      <w:r>
        <w:rPr>
          <w:rStyle w:val="A5"/>
          <w:rFonts w:ascii="Calibri" w:hAnsi="Calibri" w:cs="Calibri"/>
          <w:color w:val="auto"/>
          <w:lang w:val="sr-Cyrl-BA"/>
        </w:rPr>
        <w:t xml:space="preserve"> </w:t>
      </w:r>
      <w:r w:rsidRPr="0078601C">
        <w:rPr>
          <w:rStyle w:val="A5"/>
          <w:rFonts w:ascii="Calibri" w:hAnsi="Calibri" w:cs="Calibri"/>
          <w:color w:val="auto"/>
          <w:lang w:val="sr-Cyrl-BA"/>
        </w:rPr>
        <w:t>међународна акредитација студијског програма Медицина на Медицинском факултету у Фочи коју спроводи Комитет за акредитацију Мађарске (МАБ)</w:t>
      </w:r>
    </w:p>
    <w:p w:rsidR="005C38AB" w:rsidRDefault="00637F6E" w:rsidP="00637F6E">
      <w:pPr>
        <w:pStyle w:val="ListParagraph"/>
        <w:numPr>
          <w:ilvl w:val="0"/>
          <w:numId w:val="1"/>
        </w:numPr>
        <w:jc w:val="both"/>
        <w:rPr>
          <w:rStyle w:val="A5"/>
          <w:rFonts w:ascii="Calibri" w:hAnsi="Calibri" w:cs="Calibri"/>
          <w:color w:val="auto"/>
          <w:lang w:val="sr-Cyrl-BA"/>
        </w:rPr>
      </w:pPr>
      <w:r w:rsidRPr="008F1366">
        <w:rPr>
          <w:rStyle w:val="A5"/>
          <w:rFonts w:ascii="Calibri" w:hAnsi="Calibri" w:cs="Calibri"/>
          <w:color w:val="auto"/>
          <w:lang w:val="sr-Cyrl-BA"/>
        </w:rPr>
        <w:t xml:space="preserve">Универзитет у Бањој Луци </w:t>
      </w:r>
    </w:p>
    <w:p w:rsidR="005C38AB" w:rsidRDefault="00637F6E" w:rsidP="005C38AB">
      <w:pPr>
        <w:pStyle w:val="ListParagraph"/>
        <w:numPr>
          <w:ilvl w:val="1"/>
          <w:numId w:val="1"/>
        </w:numPr>
        <w:jc w:val="both"/>
        <w:rPr>
          <w:rStyle w:val="A5"/>
          <w:rFonts w:ascii="Calibri" w:hAnsi="Calibri" w:cs="Calibri"/>
          <w:color w:val="auto"/>
          <w:lang w:val="sr-Cyrl-BA"/>
        </w:rPr>
      </w:pPr>
      <w:r w:rsidRPr="008F1366">
        <w:rPr>
          <w:rStyle w:val="A5"/>
          <w:rFonts w:ascii="Calibri" w:hAnsi="Calibri" w:cs="Calibri"/>
          <w:color w:val="auto"/>
          <w:lang w:val="sr-Cyrl-BA"/>
        </w:rPr>
        <w:t>реакредитација установе и акредитација кластера студијских програма из области инжењерства и технологије уз два студијска програма из области природних наука</w:t>
      </w:r>
      <w:r w:rsidR="00D60FF3">
        <w:rPr>
          <w:rStyle w:val="A5"/>
          <w:rFonts w:ascii="Calibri" w:hAnsi="Calibri" w:cs="Calibri"/>
          <w:color w:val="auto"/>
          <w:lang w:val="sr-Cyrl-BA"/>
        </w:rPr>
        <w:t xml:space="preserve"> (девет студијских програма)</w:t>
      </w:r>
    </w:p>
    <w:p w:rsidR="00637F6E" w:rsidRPr="008F1366" w:rsidRDefault="00637F6E" w:rsidP="005C38AB">
      <w:pPr>
        <w:pStyle w:val="ListParagraph"/>
        <w:numPr>
          <w:ilvl w:val="1"/>
          <w:numId w:val="1"/>
        </w:numPr>
        <w:jc w:val="both"/>
        <w:rPr>
          <w:rStyle w:val="A5"/>
          <w:rFonts w:ascii="Calibri" w:hAnsi="Calibri" w:cs="Calibri"/>
          <w:color w:val="auto"/>
          <w:lang w:val="sr-Cyrl-BA"/>
        </w:rPr>
      </w:pPr>
      <w:r>
        <w:rPr>
          <w:rStyle w:val="A5"/>
          <w:rFonts w:ascii="Calibri" w:hAnsi="Calibri" w:cs="Calibri"/>
          <w:color w:val="auto"/>
          <w:lang w:val="sr-Cyrl-BA"/>
        </w:rPr>
        <w:t xml:space="preserve"> </w:t>
      </w:r>
      <w:r w:rsidRPr="002A11D4">
        <w:rPr>
          <w:rStyle w:val="A5"/>
          <w:rFonts w:ascii="Calibri" w:hAnsi="Calibri" w:cs="Calibri"/>
          <w:color w:val="auto"/>
          <w:lang w:val="sr-Cyrl-BA"/>
        </w:rPr>
        <w:t>међународна акредитација студијског програма Медицина на Медицинском факултету коју спроводи Комитет за акредитацију Мађарске (МАБ)</w:t>
      </w:r>
      <w:r>
        <w:rPr>
          <w:rStyle w:val="A5"/>
          <w:rFonts w:ascii="Calibri" w:hAnsi="Calibri" w:cs="Calibri"/>
          <w:color w:val="auto"/>
          <w:lang w:val="sr-Cyrl-BA"/>
        </w:rPr>
        <w:t>,</w:t>
      </w:r>
    </w:p>
    <w:p w:rsidR="00637F6E" w:rsidRDefault="00637F6E" w:rsidP="00637F6E">
      <w:pPr>
        <w:pStyle w:val="ListParagraph"/>
        <w:numPr>
          <w:ilvl w:val="0"/>
          <w:numId w:val="1"/>
        </w:numPr>
        <w:jc w:val="both"/>
        <w:rPr>
          <w:rStyle w:val="A5"/>
          <w:rFonts w:ascii="Calibri" w:hAnsi="Calibri" w:cs="Calibri"/>
          <w:color w:val="auto"/>
          <w:lang w:val="sr-Cyrl-BA"/>
        </w:rPr>
      </w:pPr>
      <w:r w:rsidRPr="008F1366">
        <w:rPr>
          <w:rStyle w:val="A5"/>
          <w:rFonts w:ascii="Calibri" w:hAnsi="Calibri" w:cs="Calibri"/>
          <w:color w:val="auto"/>
          <w:lang w:val="sr-Cyrl-BA"/>
        </w:rPr>
        <w:t>Универзитет за пословне студије, Бања Лука (реакредитација установе и акредитација четири студијска програма)</w:t>
      </w:r>
      <w:r>
        <w:rPr>
          <w:rStyle w:val="A5"/>
          <w:rFonts w:ascii="Calibri" w:hAnsi="Calibri" w:cs="Calibri"/>
          <w:color w:val="auto"/>
          <w:lang w:val="sr-Cyrl-BA"/>
        </w:rPr>
        <w:t>,</w:t>
      </w:r>
    </w:p>
    <w:p w:rsidR="00BE477F" w:rsidRPr="003F3FF1" w:rsidRDefault="00BE477F" w:rsidP="00BE477F">
      <w:pPr>
        <w:pStyle w:val="ListParagraph"/>
        <w:numPr>
          <w:ilvl w:val="0"/>
          <w:numId w:val="1"/>
        </w:numPr>
        <w:jc w:val="both"/>
        <w:rPr>
          <w:rStyle w:val="A5"/>
          <w:rFonts w:ascii="Calibri" w:hAnsi="Calibri" w:cs="Calibri"/>
          <w:color w:val="auto"/>
          <w:lang w:val="sr-Cyrl-BA"/>
        </w:rPr>
      </w:pPr>
      <w:r w:rsidRPr="003F3FF1">
        <w:rPr>
          <w:rStyle w:val="A5"/>
          <w:rFonts w:ascii="Calibri" w:hAnsi="Calibri" w:cs="Calibri"/>
          <w:color w:val="auto"/>
          <w:lang w:val="sr-Cyrl-BA"/>
        </w:rPr>
        <w:t xml:space="preserve">Независни универзитет Бања Лука (реакредитација установе и </w:t>
      </w:r>
      <w:r w:rsidR="002247BB" w:rsidRPr="008F1366">
        <w:rPr>
          <w:rStyle w:val="A5"/>
          <w:rFonts w:ascii="Calibri" w:hAnsi="Calibri" w:cs="Calibri"/>
          <w:color w:val="auto"/>
          <w:lang w:val="sr-Cyrl-BA"/>
        </w:rPr>
        <w:t xml:space="preserve">акредитација </w:t>
      </w:r>
      <w:r w:rsidRPr="003F3FF1">
        <w:rPr>
          <w:rStyle w:val="A5"/>
          <w:rFonts w:ascii="Calibri" w:hAnsi="Calibri" w:cs="Calibri"/>
          <w:color w:val="auto"/>
          <w:lang w:val="sr-Cyrl-BA"/>
        </w:rPr>
        <w:t>седам студијских програма)</w:t>
      </w:r>
      <w:r>
        <w:rPr>
          <w:rStyle w:val="A5"/>
          <w:rFonts w:ascii="Calibri" w:hAnsi="Calibri" w:cs="Calibri"/>
          <w:color w:val="auto"/>
          <w:lang w:val="sr-Cyrl-BA"/>
        </w:rPr>
        <w:t>,</w:t>
      </w:r>
    </w:p>
    <w:p w:rsidR="00BE477F" w:rsidRPr="003F3FF1" w:rsidRDefault="00BE477F" w:rsidP="00BE477F">
      <w:pPr>
        <w:pStyle w:val="ListParagraph"/>
        <w:numPr>
          <w:ilvl w:val="0"/>
          <w:numId w:val="1"/>
        </w:numPr>
        <w:jc w:val="both"/>
        <w:rPr>
          <w:rStyle w:val="A5"/>
          <w:rFonts w:ascii="Calibri" w:hAnsi="Calibri" w:cs="Calibri"/>
          <w:color w:val="FF0000"/>
          <w:lang w:val="sr-Cyrl-BA"/>
        </w:rPr>
      </w:pPr>
      <w:r w:rsidRPr="003F3FF1">
        <w:rPr>
          <w:rStyle w:val="A5"/>
          <w:rFonts w:ascii="Calibri" w:hAnsi="Calibri" w:cs="Calibri"/>
          <w:color w:val="auto"/>
          <w:lang w:val="sr-Cyrl-BA"/>
        </w:rPr>
        <w:t>Универзитет за пословни инжењеринг и менаџмент Бања Лука (реакредитација установе и осам студијских програма)</w:t>
      </w:r>
      <w:r>
        <w:rPr>
          <w:rStyle w:val="A5"/>
          <w:rFonts w:ascii="Calibri" w:hAnsi="Calibri" w:cs="Calibri"/>
          <w:color w:val="auto"/>
          <w:lang w:val="sr-Cyrl-BA"/>
        </w:rPr>
        <w:t>,</w:t>
      </w:r>
    </w:p>
    <w:p w:rsidR="000B20D0" w:rsidRPr="000B20D0" w:rsidRDefault="000B20D0" w:rsidP="00637F6E">
      <w:pPr>
        <w:pStyle w:val="ListParagraph"/>
        <w:numPr>
          <w:ilvl w:val="0"/>
          <w:numId w:val="1"/>
        </w:numPr>
        <w:jc w:val="both"/>
        <w:rPr>
          <w:rStyle w:val="A5"/>
          <w:rFonts w:ascii="Calibri" w:hAnsi="Calibri" w:cs="Calibri"/>
          <w:color w:val="auto"/>
          <w:lang w:val="sr-Cyrl-BA"/>
        </w:rPr>
      </w:pPr>
      <w:r w:rsidRPr="000B20D0">
        <w:rPr>
          <w:rStyle w:val="A5"/>
          <w:rFonts w:ascii="Calibri" w:hAnsi="Calibri" w:cs="Calibri"/>
          <w:color w:val="000000" w:themeColor="text1"/>
          <w:lang w:val="sr-Cyrl-RS"/>
        </w:rPr>
        <w:t>Паневропски универзитет Апеирон Бања Лука (акредитација студијског програма након писма очекивања)</w:t>
      </w:r>
    </w:p>
    <w:p w:rsidR="000B20D0" w:rsidRPr="008F1366" w:rsidRDefault="000B20D0" w:rsidP="000B20D0">
      <w:pPr>
        <w:pStyle w:val="ListParagraph"/>
        <w:numPr>
          <w:ilvl w:val="0"/>
          <w:numId w:val="1"/>
        </w:numPr>
        <w:jc w:val="both"/>
        <w:rPr>
          <w:rStyle w:val="A5"/>
          <w:rFonts w:ascii="Calibri" w:hAnsi="Calibri" w:cs="Calibri"/>
          <w:color w:val="auto"/>
          <w:lang w:val="sr-Cyrl-BA"/>
        </w:rPr>
      </w:pPr>
      <w:r w:rsidRPr="008F1366">
        <w:rPr>
          <w:rStyle w:val="A5"/>
          <w:rFonts w:ascii="Calibri" w:hAnsi="Calibri" w:cs="Calibri"/>
          <w:color w:val="auto"/>
          <w:lang w:val="sr-Cyrl-BA"/>
        </w:rPr>
        <w:t>Висока школа Banja Luka College, Бања Лука (реакредитација установе и два студијска програма)</w:t>
      </w:r>
      <w:r>
        <w:rPr>
          <w:rStyle w:val="A5"/>
          <w:rFonts w:ascii="Calibri" w:hAnsi="Calibri" w:cs="Calibri"/>
          <w:color w:val="auto"/>
          <w:lang w:val="sr-Cyrl-BA"/>
        </w:rPr>
        <w:t>,</w:t>
      </w:r>
    </w:p>
    <w:p w:rsidR="00B23B31" w:rsidRPr="003F3FF1" w:rsidRDefault="00B23B31" w:rsidP="00B23B31">
      <w:pPr>
        <w:pStyle w:val="ListParagraph"/>
        <w:numPr>
          <w:ilvl w:val="0"/>
          <w:numId w:val="1"/>
        </w:numPr>
        <w:jc w:val="both"/>
        <w:rPr>
          <w:rStyle w:val="A5"/>
          <w:rFonts w:ascii="Calibri" w:hAnsi="Calibri" w:cs="Calibri"/>
          <w:color w:val="auto"/>
          <w:lang w:val="sr-Cyrl-BA"/>
        </w:rPr>
      </w:pPr>
      <w:r w:rsidRPr="003F3FF1">
        <w:rPr>
          <w:rStyle w:val="A5"/>
          <w:rFonts w:ascii="Calibri" w:hAnsi="Calibri" w:cs="Calibri"/>
          <w:color w:val="auto"/>
          <w:lang w:val="sr-Cyrl-BA"/>
        </w:rPr>
        <w:t>Висока школа за тур</w:t>
      </w:r>
      <w:r>
        <w:rPr>
          <w:rStyle w:val="A5"/>
          <w:rFonts w:ascii="Calibri" w:hAnsi="Calibri" w:cs="Calibri"/>
          <w:color w:val="auto"/>
          <w:lang w:val="sr-Cyrl-BA"/>
        </w:rPr>
        <w:t>изам и хотелијерство Требиње (</w:t>
      </w:r>
      <w:r w:rsidRPr="003F3FF1">
        <w:rPr>
          <w:rStyle w:val="A5"/>
          <w:rFonts w:ascii="Calibri" w:hAnsi="Calibri" w:cs="Calibri"/>
          <w:color w:val="auto"/>
          <w:lang w:val="sr-Cyrl-BA"/>
        </w:rPr>
        <w:t>акредит</w:t>
      </w:r>
      <w:r>
        <w:rPr>
          <w:rStyle w:val="A5"/>
          <w:rFonts w:ascii="Calibri" w:hAnsi="Calibri" w:cs="Calibri"/>
          <w:color w:val="auto"/>
          <w:lang w:val="sr-Cyrl-BA"/>
        </w:rPr>
        <w:t>ација установе и два студијска</w:t>
      </w:r>
      <w:r w:rsidRPr="003F3FF1">
        <w:rPr>
          <w:rStyle w:val="A5"/>
          <w:rFonts w:ascii="Calibri" w:hAnsi="Calibri" w:cs="Calibri"/>
          <w:color w:val="auto"/>
          <w:lang w:val="sr-Cyrl-BA"/>
        </w:rPr>
        <w:t xml:space="preserve"> програма)</w:t>
      </w:r>
      <w:r>
        <w:rPr>
          <w:rStyle w:val="A5"/>
          <w:rFonts w:ascii="Calibri" w:hAnsi="Calibri" w:cs="Calibri"/>
          <w:color w:val="auto"/>
          <w:lang w:val="sr-Cyrl-BA"/>
        </w:rPr>
        <w:t>,</w:t>
      </w:r>
    </w:p>
    <w:p w:rsidR="00637F6E" w:rsidRPr="00211F4D" w:rsidRDefault="00637F6E" w:rsidP="00637F6E">
      <w:pPr>
        <w:pStyle w:val="ListParagraph"/>
        <w:numPr>
          <w:ilvl w:val="0"/>
          <w:numId w:val="1"/>
        </w:numPr>
        <w:jc w:val="both"/>
        <w:rPr>
          <w:rStyle w:val="A5"/>
          <w:rFonts w:ascii="Calibri" w:hAnsi="Calibri" w:cs="Calibri"/>
          <w:color w:val="auto"/>
          <w:lang w:val="sr-Cyrl-BA"/>
        </w:rPr>
      </w:pPr>
      <w:r w:rsidRPr="00211F4D">
        <w:rPr>
          <w:rStyle w:val="A5"/>
          <w:rFonts w:ascii="Calibri" w:hAnsi="Calibri" w:cs="Calibri"/>
          <w:color w:val="auto"/>
          <w:lang w:val="sr-Cyrl-BA"/>
        </w:rPr>
        <w:t xml:space="preserve">Висока школа за економију и информатику Приједор </w:t>
      </w:r>
      <w:r>
        <w:rPr>
          <w:rStyle w:val="A5"/>
          <w:rFonts w:ascii="Calibri" w:hAnsi="Calibri" w:cs="Calibri"/>
          <w:color w:val="auto"/>
          <w:lang w:val="sr-Cyrl-BA"/>
        </w:rPr>
        <w:t>(акредитација установе и студијског програма),</w:t>
      </w:r>
    </w:p>
    <w:p w:rsidR="00637F6E" w:rsidRPr="008F1366" w:rsidRDefault="00637F6E" w:rsidP="00637F6E">
      <w:pPr>
        <w:pStyle w:val="ListParagraph"/>
        <w:numPr>
          <w:ilvl w:val="0"/>
          <w:numId w:val="1"/>
        </w:numPr>
        <w:jc w:val="both"/>
        <w:rPr>
          <w:rStyle w:val="A5"/>
          <w:rFonts w:ascii="Calibri" w:hAnsi="Calibri" w:cs="Calibri"/>
          <w:color w:val="auto"/>
          <w:lang w:val="sr-Cyrl-BA"/>
        </w:rPr>
      </w:pPr>
      <w:r w:rsidRPr="008F1366">
        <w:rPr>
          <w:rStyle w:val="A5"/>
          <w:rFonts w:ascii="Calibri" w:hAnsi="Calibri" w:cs="Calibri"/>
          <w:color w:val="auto"/>
          <w:lang w:val="sr-Cyrl-BA"/>
        </w:rPr>
        <w:t>Високa школa за примијењене и правне науке „Прометеј“</w:t>
      </w:r>
      <w:r w:rsidRPr="008F1366">
        <w:t xml:space="preserve"> </w:t>
      </w:r>
      <w:r w:rsidRPr="008F1366">
        <w:rPr>
          <w:rStyle w:val="A5"/>
          <w:rFonts w:ascii="Calibri" w:hAnsi="Calibri" w:cs="Calibri"/>
          <w:color w:val="auto"/>
          <w:lang w:val="sr-Cyrl-BA"/>
        </w:rPr>
        <w:t xml:space="preserve">(реакредитација установе и </w:t>
      </w:r>
      <w:r w:rsidR="002247BB" w:rsidRPr="008F1366">
        <w:rPr>
          <w:rStyle w:val="A5"/>
          <w:rFonts w:ascii="Calibri" w:hAnsi="Calibri" w:cs="Calibri"/>
          <w:color w:val="auto"/>
          <w:lang w:val="sr-Cyrl-BA"/>
        </w:rPr>
        <w:t xml:space="preserve">акредитација </w:t>
      </w:r>
      <w:r w:rsidR="009477B9">
        <w:rPr>
          <w:rStyle w:val="A5"/>
          <w:rFonts w:ascii="Calibri" w:hAnsi="Calibri" w:cs="Calibri"/>
          <w:color w:val="auto"/>
          <w:lang w:val="sr-Cyrl-BA"/>
        </w:rPr>
        <w:t>два</w:t>
      </w:r>
      <w:r w:rsidRPr="008F1366">
        <w:rPr>
          <w:rStyle w:val="A5"/>
          <w:rFonts w:ascii="Calibri" w:hAnsi="Calibri" w:cs="Calibri"/>
          <w:color w:val="auto"/>
          <w:lang w:val="sr-Cyrl-BA"/>
        </w:rPr>
        <w:t xml:space="preserve"> студијска програма)</w:t>
      </w:r>
      <w:r w:rsidR="00B23B31">
        <w:rPr>
          <w:rStyle w:val="A5"/>
          <w:rFonts w:ascii="Calibri" w:hAnsi="Calibri" w:cs="Calibri"/>
          <w:color w:val="auto"/>
          <w:lang w:val="sr-Cyrl-BA"/>
        </w:rPr>
        <w:t xml:space="preserve"> и</w:t>
      </w:r>
    </w:p>
    <w:p w:rsidR="00637F6E" w:rsidRPr="003F3FF1" w:rsidRDefault="00637F6E" w:rsidP="000C3C72">
      <w:pPr>
        <w:pStyle w:val="ListParagraph"/>
        <w:numPr>
          <w:ilvl w:val="0"/>
          <w:numId w:val="1"/>
        </w:numPr>
        <w:spacing w:after="0"/>
        <w:jc w:val="both"/>
        <w:rPr>
          <w:rStyle w:val="A5"/>
          <w:rFonts w:ascii="Calibri" w:hAnsi="Calibri" w:cs="Calibri"/>
          <w:color w:val="FF0000"/>
          <w:lang w:val="sr-Cyrl-BA"/>
        </w:rPr>
      </w:pPr>
      <w:r w:rsidRPr="003F3FF1">
        <w:rPr>
          <w:rStyle w:val="A5"/>
          <w:rFonts w:ascii="Calibri" w:hAnsi="Calibri" w:cs="Calibri"/>
          <w:color w:val="auto"/>
          <w:lang w:val="sr-Cyrl-BA"/>
        </w:rPr>
        <w:t xml:space="preserve">Висока пословно техничка школа Добој </w:t>
      </w:r>
      <w:r w:rsidR="009477B9">
        <w:rPr>
          <w:rStyle w:val="A5"/>
          <w:rFonts w:ascii="Calibri" w:hAnsi="Calibri" w:cs="Calibri"/>
          <w:color w:val="auto"/>
          <w:lang w:val="sr-Cyrl-BA"/>
        </w:rPr>
        <w:t xml:space="preserve"> </w:t>
      </w:r>
      <w:r w:rsidRPr="003F3FF1">
        <w:rPr>
          <w:rStyle w:val="A5"/>
          <w:rFonts w:ascii="Calibri" w:hAnsi="Calibri" w:cs="Calibri"/>
          <w:color w:val="auto"/>
          <w:lang w:val="sr-Cyrl-BA"/>
        </w:rPr>
        <w:t xml:space="preserve">(реакредитација установе и </w:t>
      </w:r>
      <w:r w:rsidR="002247BB" w:rsidRPr="008F1366">
        <w:rPr>
          <w:rStyle w:val="A5"/>
          <w:rFonts w:ascii="Calibri" w:hAnsi="Calibri" w:cs="Calibri"/>
          <w:color w:val="auto"/>
          <w:lang w:val="sr-Cyrl-BA"/>
        </w:rPr>
        <w:t xml:space="preserve">акредитација </w:t>
      </w:r>
      <w:r w:rsidRPr="003F3FF1">
        <w:rPr>
          <w:rStyle w:val="A5"/>
          <w:rFonts w:ascii="Calibri" w:hAnsi="Calibri" w:cs="Calibri"/>
          <w:color w:val="auto"/>
          <w:lang w:val="sr-Cyrl-BA"/>
        </w:rPr>
        <w:t>једног студијског програма).</w:t>
      </w:r>
    </w:p>
    <w:p w:rsidR="00637F6E" w:rsidRPr="00E5063A" w:rsidRDefault="00637F6E" w:rsidP="005C38AB">
      <w:pPr>
        <w:pStyle w:val="ListParagraph"/>
        <w:spacing w:after="0"/>
        <w:rPr>
          <w:rStyle w:val="A5"/>
          <w:rFonts w:ascii="Calibri" w:hAnsi="Calibri" w:cs="Calibri"/>
          <w:color w:val="auto"/>
          <w:lang w:val="sr-Cyrl-BA"/>
        </w:rPr>
      </w:pPr>
    </w:p>
    <w:p w:rsidR="007D66C4" w:rsidRDefault="00637F6E" w:rsidP="00685F6D">
      <w:pPr>
        <w:spacing w:after="240" w:line="276" w:lineRule="auto"/>
        <w:jc w:val="both"/>
        <w:rPr>
          <w:rStyle w:val="A5"/>
          <w:rFonts w:ascii="Calibri" w:hAnsi="Calibri" w:cs="Calibri"/>
          <w:color w:val="000000" w:themeColor="text1"/>
          <w:lang w:val="sr-Cyrl-RS"/>
        </w:rPr>
      </w:pPr>
      <w:r w:rsidRPr="00E25554">
        <w:rPr>
          <w:rStyle w:val="A5"/>
          <w:rFonts w:ascii="Calibri" w:hAnsi="Calibri" w:cs="Calibri"/>
          <w:color w:val="000000" w:themeColor="text1"/>
          <w:lang w:val="sr-Cyrl-RS"/>
        </w:rPr>
        <w:t xml:space="preserve">У поступку </w:t>
      </w:r>
      <w:r w:rsidR="005C38AB">
        <w:rPr>
          <w:rStyle w:val="A5"/>
          <w:rFonts w:ascii="Calibri" w:hAnsi="Calibri" w:cs="Calibri"/>
          <w:color w:val="000000" w:themeColor="text1"/>
          <w:lang w:val="sr-Cyrl-RS"/>
        </w:rPr>
        <w:t>ре</w:t>
      </w:r>
      <w:r w:rsidRPr="00E25554">
        <w:rPr>
          <w:rStyle w:val="A5"/>
          <w:rFonts w:ascii="Calibri" w:hAnsi="Calibri" w:cs="Calibri"/>
          <w:color w:val="000000" w:themeColor="text1"/>
          <w:lang w:val="sr-Cyrl-RS"/>
        </w:rPr>
        <w:t xml:space="preserve">акредитације </w:t>
      </w:r>
      <w:r w:rsidR="005C38AB" w:rsidRPr="00E25554">
        <w:rPr>
          <w:rStyle w:val="A5"/>
          <w:rFonts w:ascii="Calibri" w:hAnsi="Calibri" w:cs="Calibri"/>
          <w:b/>
          <w:color w:val="000000" w:themeColor="text1"/>
          <w:lang w:val="sr-Cyrl-RS"/>
        </w:rPr>
        <w:t>Универзитета у Источном Сарајеву</w:t>
      </w:r>
      <w:r w:rsidR="005C38AB" w:rsidRPr="00E25554">
        <w:rPr>
          <w:rStyle w:val="A5"/>
          <w:rFonts w:ascii="Calibri" w:hAnsi="Calibri" w:cs="Calibri"/>
          <w:color w:val="000000" w:themeColor="text1"/>
          <w:lang w:val="sr-Cyrl-RS"/>
        </w:rPr>
        <w:t xml:space="preserve"> </w:t>
      </w:r>
      <w:r w:rsidRPr="00E25554">
        <w:rPr>
          <w:rStyle w:val="A5"/>
          <w:rFonts w:ascii="Calibri" w:hAnsi="Calibri" w:cs="Calibri"/>
          <w:b/>
          <w:color w:val="000000" w:themeColor="text1"/>
          <w:lang w:val="sr-Cyrl-RS"/>
        </w:rPr>
        <w:t xml:space="preserve">и студијских програма у кластеру из научне области друштвених наука, уже научно </w:t>
      </w:r>
      <w:r>
        <w:rPr>
          <w:rStyle w:val="A5"/>
          <w:rFonts w:ascii="Calibri" w:hAnsi="Calibri" w:cs="Calibri"/>
          <w:b/>
          <w:color w:val="000000" w:themeColor="text1"/>
          <w:lang w:val="sr-Cyrl-RS"/>
        </w:rPr>
        <w:t xml:space="preserve">поље економија и пословање, </w:t>
      </w:r>
      <w:r w:rsidRPr="00E25554">
        <w:rPr>
          <w:rStyle w:val="A5"/>
          <w:rFonts w:ascii="Calibri" w:hAnsi="Calibri" w:cs="Calibri"/>
          <w:color w:val="000000" w:themeColor="text1"/>
          <w:lang w:val="sr-Cyrl-RS"/>
        </w:rPr>
        <w:t xml:space="preserve">у октобру 2024. године именована је Комисија стручњака за спровођење </w:t>
      </w:r>
      <w:r w:rsidR="005C38AB">
        <w:rPr>
          <w:rStyle w:val="A5"/>
          <w:rFonts w:ascii="Calibri" w:hAnsi="Calibri" w:cs="Calibri"/>
          <w:color w:val="000000" w:themeColor="text1"/>
          <w:lang w:val="sr-Cyrl-RS"/>
        </w:rPr>
        <w:t xml:space="preserve">поступка </w:t>
      </w:r>
      <w:r w:rsidRPr="00E25554">
        <w:rPr>
          <w:rStyle w:val="A5"/>
          <w:rFonts w:ascii="Calibri" w:hAnsi="Calibri" w:cs="Calibri"/>
          <w:color w:val="000000" w:themeColor="text1"/>
          <w:lang w:val="sr-Cyrl-RS"/>
        </w:rPr>
        <w:t>вањског вредновања у сврху акредитације високошколске установе и студијских програма</w:t>
      </w:r>
      <w:r w:rsidR="0036525E">
        <w:rPr>
          <w:rStyle w:val="A5"/>
          <w:rFonts w:ascii="Calibri" w:hAnsi="Calibri" w:cs="Calibri"/>
          <w:color w:val="000000" w:themeColor="text1"/>
          <w:lang w:val="sr-Cyrl-RS"/>
        </w:rPr>
        <w:t xml:space="preserve">. Након </w:t>
      </w:r>
      <w:r w:rsidRPr="00E25554">
        <w:rPr>
          <w:rStyle w:val="A5"/>
          <w:rFonts w:ascii="Calibri" w:hAnsi="Calibri" w:cs="Calibri"/>
          <w:color w:val="000000" w:themeColor="text1"/>
          <w:lang w:val="sr-Cyrl-RS"/>
        </w:rPr>
        <w:t>анализ</w:t>
      </w:r>
      <w:r w:rsidR="0036525E">
        <w:rPr>
          <w:rStyle w:val="A5"/>
          <w:rFonts w:ascii="Calibri" w:hAnsi="Calibri" w:cs="Calibri"/>
          <w:color w:val="000000" w:themeColor="text1"/>
          <w:lang w:val="sr-Cyrl-RS"/>
        </w:rPr>
        <w:t>е</w:t>
      </w:r>
      <w:r w:rsidRPr="00E25554">
        <w:rPr>
          <w:rStyle w:val="A5"/>
          <w:rFonts w:ascii="Calibri" w:hAnsi="Calibri" w:cs="Calibri"/>
          <w:color w:val="000000" w:themeColor="text1"/>
          <w:lang w:val="sr-Cyrl-RS"/>
        </w:rPr>
        <w:t xml:space="preserve"> достављене документације</w:t>
      </w:r>
      <w:r w:rsidR="0036525E">
        <w:rPr>
          <w:rStyle w:val="A5"/>
          <w:rFonts w:ascii="Calibri" w:hAnsi="Calibri" w:cs="Calibri"/>
          <w:color w:val="000000" w:themeColor="text1"/>
          <w:lang w:val="sr-Cyrl-RS"/>
        </w:rPr>
        <w:t xml:space="preserve">, </w:t>
      </w:r>
      <w:r w:rsidRPr="00E25554">
        <w:rPr>
          <w:rStyle w:val="A5"/>
          <w:rFonts w:ascii="Calibri" w:hAnsi="Calibri" w:cs="Calibri"/>
          <w:color w:val="000000" w:themeColor="text1"/>
          <w:lang w:val="sr-Cyrl-RS"/>
        </w:rPr>
        <w:t xml:space="preserve"> усаглашен </w:t>
      </w:r>
      <w:r w:rsidR="0036525E">
        <w:rPr>
          <w:rStyle w:val="A5"/>
          <w:rFonts w:ascii="Calibri" w:hAnsi="Calibri" w:cs="Calibri"/>
          <w:color w:val="000000" w:themeColor="text1"/>
          <w:lang w:val="sr-Cyrl-RS"/>
        </w:rPr>
        <w:t xml:space="preserve">је </w:t>
      </w:r>
      <w:r w:rsidRPr="00E25554">
        <w:rPr>
          <w:rStyle w:val="A5"/>
          <w:rFonts w:ascii="Calibri" w:hAnsi="Calibri" w:cs="Calibri"/>
          <w:color w:val="000000" w:themeColor="text1"/>
          <w:lang w:val="sr-Cyrl-RS"/>
        </w:rPr>
        <w:t>термин посјете високошколској у</w:t>
      </w:r>
      <w:r>
        <w:rPr>
          <w:rStyle w:val="A5"/>
          <w:rFonts w:ascii="Calibri" w:hAnsi="Calibri" w:cs="Calibri"/>
          <w:color w:val="000000" w:themeColor="text1"/>
          <w:lang w:val="sr-Cyrl-RS"/>
        </w:rPr>
        <w:t>станови</w:t>
      </w:r>
      <w:r w:rsidR="0036525E">
        <w:rPr>
          <w:rStyle w:val="A5"/>
          <w:rFonts w:ascii="Calibri" w:hAnsi="Calibri" w:cs="Calibri"/>
          <w:color w:val="000000" w:themeColor="text1"/>
          <w:lang w:val="sr-Cyrl-RS"/>
        </w:rPr>
        <w:t xml:space="preserve"> (јануар 2025. године)</w:t>
      </w:r>
      <w:r w:rsidR="005C34D6">
        <w:rPr>
          <w:rStyle w:val="A5"/>
          <w:rFonts w:ascii="Calibri" w:hAnsi="Calibri" w:cs="Calibri"/>
          <w:color w:val="000000" w:themeColor="text1"/>
          <w:lang w:val="sr-Cyrl-RS"/>
        </w:rPr>
        <w:t>.</w:t>
      </w:r>
    </w:p>
    <w:p w:rsidR="00B23B31" w:rsidRDefault="007D66C4" w:rsidP="00B23B31">
      <w:pPr>
        <w:spacing w:after="240" w:line="276" w:lineRule="auto"/>
        <w:jc w:val="both"/>
        <w:rPr>
          <w:rStyle w:val="A5"/>
          <w:rFonts w:ascii="Calibri" w:hAnsi="Calibri" w:cs="Calibri"/>
          <w:color w:val="000000" w:themeColor="text1"/>
          <w:lang w:val="sr-Latn-BA"/>
        </w:rPr>
      </w:pPr>
      <w:r>
        <w:rPr>
          <w:rStyle w:val="A5"/>
          <w:rFonts w:ascii="Calibri" w:hAnsi="Calibri" w:cs="Calibri"/>
          <w:color w:val="000000" w:themeColor="text1"/>
          <w:lang w:val="sr-Cyrl-RS"/>
        </w:rPr>
        <w:t xml:space="preserve">У </w:t>
      </w:r>
      <w:r w:rsidRPr="007E5CAF">
        <w:rPr>
          <w:rStyle w:val="A5"/>
          <w:rFonts w:ascii="Calibri" w:hAnsi="Calibri" w:cs="Calibri"/>
          <w:color w:val="000000" w:themeColor="text1"/>
          <w:lang w:val="sr-Cyrl-RS"/>
        </w:rPr>
        <w:t>април</w:t>
      </w:r>
      <w:r>
        <w:rPr>
          <w:rStyle w:val="A5"/>
          <w:rFonts w:ascii="Calibri" w:hAnsi="Calibri" w:cs="Calibri"/>
          <w:color w:val="000000" w:themeColor="text1"/>
          <w:lang w:val="sr-Cyrl-RS"/>
        </w:rPr>
        <w:t xml:space="preserve">у </w:t>
      </w:r>
      <w:r w:rsidRPr="00260112">
        <w:rPr>
          <w:rStyle w:val="A5"/>
          <w:rFonts w:ascii="Calibri" w:hAnsi="Calibri" w:cs="Calibri"/>
          <w:color w:val="000000" w:themeColor="text1"/>
          <w:lang w:val="sr-Cyrl-RS"/>
        </w:rPr>
        <w:t xml:space="preserve">2024. </w:t>
      </w:r>
      <w:r>
        <w:rPr>
          <w:rStyle w:val="A5"/>
          <w:rFonts w:ascii="Calibri" w:hAnsi="Calibri" w:cs="Calibri"/>
          <w:color w:val="000000" w:themeColor="text1"/>
          <w:lang w:val="sr-Cyrl-RS"/>
        </w:rPr>
        <w:t>године</w:t>
      </w:r>
      <w:r w:rsidRPr="007D66C4">
        <w:rPr>
          <w:rStyle w:val="A5"/>
          <w:rFonts w:ascii="Calibri" w:hAnsi="Calibri" w:cs="Calibri"/>
          <w:color w:val="000000" w:themeColor="text1"/>
          <w:lang w:val="sr-Cyrl-RS"/>
        </w:rPr>
        <w:t xml:space="preserve"> </w:t>
      </w:r>
      <w:r w:rsidR="005C38AB" w:rsidRPr="007D66C4">
        <w:rPr>
          <w:rStyle w:val="A5"/>
          <w:rFonts w:ascii="Calibri" w:hAnsi="Calibri" w:cs="Calibri"/>
          <w:color w:val="000000" w:themeColor="text1"/>
          <w:lang w:val="sr-Cyrl-RS"/>
        </w:rPr>
        <w:t>Универзитет у Источном Сарајеву</w:t>
      </w:r>
      <w:r w:rsidR="005C38AB" w:rsidRPr="00260112">
        <w:rPr>
          <w:rStyle w:val="A5"/>
          <w:rFonts w:ascii="Calibri" w:hAnsi="Calibri" w:cs="Calibri"/>
          <w:color w:val="000000" w:themeColor="text1"/>
          <w:lang w:val="sr-Cyrl-RS"/>
        </w:rPr>
        <w:t xml:space="preserve"> je </w:t>
      </w:r>
      <w:r w:rsidR="005C38AB">
        <w:rPr>
          <w:rStyle w:val="A5"/>
          <w:rFonts w:ascii="Calibri" w:hAnsi="Calibri" w:cs="Calibri"/>
          <w:color w:val="000000" w:themeColor="text1"/>
          <w:lang w:val="sr-Cyrl-RS"/>
        </w:rPr>
        <w:t>доставио Агенцији</w:t>
      </w:r>
      <w:r w:rsidR="005C38AB" w:rsidRPr="00260112">
        <w:rPr>
          <w:rStyle w:val="A5"/>
          <w:rFonts w:ascii="Calibri" w:hAnsi="Calibri" w:cs="Calibri"/>
          <w:color w:val="000000" w:themeColor="text1"/>
          <w:lang w:val="sr-Cyrl-RS"/>
        </w:rPr>
        <w:t xml:space="preserve"> </w:t>
      </w:r>
      <w:r w:rsidR="005C38AB">
        <w:rPr>
          <w:rStyle w:val="A5"/>
          <w:rFonts w:ascii="Calibri" w:hAnsi="Calibri" w:cs="Calibri"/>
          <w:color w:val="000000" w:themeColor="text1"/>
          <w:lang w:val="sr-Cyrl-RS"/>
        </w:rPr>
        <w:t xml:space="preserve">извјештај о испуњености препорука за студијски програм </w:t>
      </w:r>
      <w:r w:rsidR="005C38AB" w:rsidRPr="00A01F63">
        <w:rPr>
          <w:rStyle w:val="A5"/>
          <w:rFonts w:ascii="Calibri" w:hAnsi="Calibri" w:cs="Calibri"/>
          <w:b/>
          <w:color w:val="000000" w:themeColor="text1"/>
          <w:lang w:val="sr-Cyrl-RS"/>
        </w:rPr>
        <w:t>Саобраћај (други циклус), Саобраћајног факултета Добој</w:t>
      </w:r>
      <w:r w:rsidR="005C38AB">
        <w:rPr>
          <w:rStyle w:val="A5"/>
          <w:rFonts w:ascii="Calibri" w:hAnsi="Calibri" w:cs="Calibri"/>
          <w:color w:val="000000" w:themeColor="text1"/>
          <w:lang w:val="sr-Cyrl-RS"/>
        </w:rPr>
        <w:t xml:space="preserve">. Након надзорне посјете која је обављена у јуну 2024. године, </w:t>
      </w:r>
      <w:r w:rsidR="005C38AB">
        <w:rPr>
          <w:rStyle w:val="A5"/>
          <w:rFonts w:ascii="Calibri" w:hAnsi="Calibri" w:cs="Calibri"/>
          <w:color w:val="000000" w:themeColor="text1"/>
          <w:lang w:val="sr-Latn-BA"/>
        </w:rPr>
        <w:t xml:space="preserve">сачињен </w:t>
      </w:r>
      <w:r w:rsidR="005C38AB">
        <w:rPr>
          <w:rStyle w:val="A5"/>
          <w:rFonts w:ascii="Calibri" w:hAnsi="Calibri" w:cs="Calibri"/>
          <w:color w:val="000000" w:themeColor="text1"/>
          <w:lang w:val="sr-Cyrl-RS"/>
        </w:rPr>
        <w:t xml:space="preserve">је </w:t>
      </w:r>
      <w:r w:rsidR="005C38AB">
        <w:rPr>
          <w:rStyle w:val="A5"/>
          <w:rFonts w:ascii="Calibri" w:hAnsi="Calibri" w:cs="Calibri"/>
          <w:color w:val="000000" w:themeColor="text1"/>
          <w:lang w:val="sr-Latn-BA"/>
        </w:rPr>
        <w:t>коначан извјештај о вањском вредновању студијског програма</w:t>
      </w:r>
      <w:r w:rsidR="005C38AB">
        <w:rPr>
          <w:rStyle w:val="A5"/>
          <w:rFonts w:ascii="Calibri" w:hAnsi="Calibri" w:cs="Calibri"/>
          <w:color w:val="000000" w:themeColor="text1"/>
          <w:lang w:val="sr-Cyrl-RS"/>
        </w:rPr>
        <w:t xml:space="preserve"> са препоруком за издавање рјешења о акредитацији</w:t>
      </w:r>
      <w:r>
        <w:rPr>
          <w:rStyle w:val="A5"/>
          <w:rFonts w:ascii="Calibri" w:hAnsi="Calibri" w:cs="Calibri"/>
          <w:color w:val="000000" w:themeColor="text1"/>
          <w:lang w:val="sr-Cyrl-RS"/>
        </w:rPr>
        <w:t xml:space="preserve"> наведеног студијског програма.</w:t>
      </w:r>
      <w:r w:rsidR="005C38AB">
        <w:rPr>
          <w:rStyle w:val="A5"/>
          <w:rFonts w:ascii="Calibri" w:hAnsi="Calibri" w:cs="Calibri"/>
          <w:color w:val="000000" w:themeColor="text1"/>
          <w:lang w:val="sr-Latn-BA"/>
        </w:rPr>
        <w:t xml:space="preserve"> </w:t>
      </w:r>
      <w:r w:rsidR="00F07616">
        <w:rPr>
          <w:rStyle w:val="A5"/>
          <w:rFonts w:ascii="Calibri" w:hAnsi="Calibri" w:cs="Calibri"/>
          <w:color w:val="auto"/>
          <w:lang w:val="sr-Cyrl-RS"/>
        </w:rPr>
        <w:t xml:space="preserve">Акредитацијско вијеће је </w:t>
      </w:r>
      <w:r w:rsidR="000B20D0">
        <w:rPr>
          <w:rStyle w:val="A5"/>
          <w:rFonts w:ascii="Calibri" w:hAnsi="Calibri" w:cs="Calibri"/>
          <w:color w:val="auto"/>
          <w:lang w:val="sr-Cyrl-RS"/>
        </w:rPr>
        <w:t>у новембру</w:t>
      </w:r>
      <w:r w:rsidR="00F07616" w:rsidRPr="008C004A">
        <w:rPr>
          <w:rStyle w:val="A5"/>
          <w:rFonts w:ascii="Calibri" w:hAnsi="Calibri" w:cs="Calibri"/>
          <w:color w:val="auto"/>
          <w:lang w:val="sr-Cyrl-RS"/>
        </w:rPr>
        <w:t xml:space="preserve"> </w:t>
      </w:r>
      <w:r w:rsidR="000B20D0">
        <w:rPr>
          <w:rStyle w:val="A5"/>
          <w:rFonts w:ascii="Calibri" w:hAnsi="Calibri" w:cs="Calibri"/>
          <w:color w:val="auto"/>
          <w:lang w:val="sr-Cyrl-RS"/>
        </w:rPr>
        <w:t xml:space="preserve">2024. године </w:t>
      </w:r>
      <w:r w:rsidR="00F07616" w:rsidRPr="008C004A">
        <w:rPr>
          <w:rStyle w:val="A5"/>
          <w:rFonts w:ascii="Calibri" w:hAnsi="Calibri" w:cs="Calibri"/>
          <w:color w:val="auto"/>
          <w:lang w:val="sr-Cyrl-RS"/>
        </w:rPr>
        <w:t>донијело Мишљење о усклађености поступка вањског вредновања</w:t>
      </w:r>
      <w:r w:rsidR="00F07616">
        <w:rPr>
          <w:rStyle w:val="A5"/>
          <w:rFonts w:ascii="Calibri" w:hAnsi="Calibri" w:cs="Calibri"/>
          <w:color w:val="auto"/>
          <w:lang w:val="sr-Cyrl-RS"/>
        </w:rPr>
        <w:t xml:space="preserve"> студијског програма са стандардима, критеријумима и законским прописима. </w:t>
      </w:r>
      <w:r w:rsidR="00F07616" w:rsidRPr="008C004A">
        <w:rPr>
          <w:rStyle w:val="A5"/>
          <w:rFonts w:ascii="Calibri" w:hAnsi="Calibri" w:cs="Calibri"/>
          <w:color w:val="auto"/>
          <w:lang w:val="sr-Cyrl-RS"/>
        </w:rPr>
        <w:t xml:space="preserve"> </w:t>
      </w:r>
    </w:p>
    <w:p w:rsidR="00B23B31" w:rsidRDefault="00637F6E" w:rsidP="00B23B31">
      <w:pPr>
        <w:spacing w:after="240" w:line="276" w:lineRule="auto"/>
        <w:jc w:val="both"/>
        <w:rPr>
          <w:rStyle w:val="A5"/>
          <w:rFonts w:ascii="Calibri" w:hAnsi="Calibri" w:cs="Calibri"/>
          <w:color w:val="000000" w:themeColor="text1"/>
          <w:lang w:val="sr-Latn-BA"/>
        </w:rPr>
      </w:pPr>
      <w:r w:rsidRPr="00C91EB7">
        <w:rPr>
          <w:rStyle w:val="A5"/>
          <w:rFonts w:ascii="Calibri" w:hAnsi="Calibri" w:cs="Calibri"/>
          <w:color w:val="auto"/>
          <w:lang w:val="sr-Cyrl-BA"/>
        </w:rPr>
        <w:t xml:space="preserve">У оквиру поступка акредитације </w:t>
      </w:r>
      <w:r w:rsidRPr="00C91EB7">
        <w:rPr>
          <w:rStyle w:val="A5"/>
          <w:rFonts w:ascii="Calibri" w:hAnsi="Calibri" w:cs="Calibri"/>
          <w:b/>
          <w:color w:val="auto"/>
          <w:lang w:val="sr-Cyrl-RS"/>
        </w:rPr>
        <w:t>Универзитета у Бањој Луци и кластера студијских програма из области инжењерства и технологије уз два студијска програма из области природних наука</w:t>
      </w:r>
      <w:r w:rsidR="007D66C4">
        <w:rPr>
          <w:rStyle w:val="A5"/>
          <w:rFonts w:ascii="Calibri" w:hAnsi="Calibri" w:cs="Calibri"/>
          <w:b/>
          <w:color w:val="auto"/>
          <w:lang w:val="sr-Cyrl-RS"/>
        </w:rPr>
        <w:t>,</w:t>
      </w:r>
      <w:r w:rsidRPr="00C91EB7">
        <w:rPr>
          <w:rStyle w:val="A5"/>
          <w:rFonts w:ascii="Calibri" w:hAnsi="Calibri" w:cs="Calibri"/>
          <w:b/>
          <w:color w:val="auto"/>
          <w:lang w:val="sr-Cyrl-RS"/>
        </w:rPr>
        <w:t xml:space="preserve"> </w:t>
      </w:r>
      <w:r w:rsidR="007D66C4">
        <w:rPr>
          <w:rStyle w:val="A5"/>
          <w:rFonts w:ascii="Calibri" w:hAnsi="Calibri" w:cs="Calibri"/>
          <w:color w:val="auto"/>
          <w:lang w:val="sr-Cyrl-RS"/>
        </w:rPr>
        <w:t>п</w:t>
      </w:r>
      <w:r w:rsidRPr="00C91EB7">
        <w:rPr>
          <w:rStyle w:val="A5"/>
          <w:rFonts w:ascii="Calibri" w:hAnsi="Calibri" w:cs="Calibri"/>
          <w:color w:val="auto"/>
          <w:lang w:val="sr-Cyrl-RS"/>
        </w:rPr>
        <w:t xml:space="preserve">рви дио посјете високошколској установи </w:t>
      </w:r>
      <w:r w:rsidR="007D66C4">
        <w:rPr>
          <w:rStyle w:val="A5"/>
          <w:rFonts w:ascii="Calibri" w:hAnsi="Calibri" w:cs="Calibri"/>
          <w:color w:val="auto"/>
          <w:lang w:val="sr-Cyrl-RS"/>
        </w:rPr>
        <w:t>је реализован у фебруару</w:t>
      </w:r>
      <w:r w:rsidRPr="00C91EB7">
        <w:rPr>
          <w:rStyle w:val="A5"/>
          <w:rFonts w:ascii="Calibri" w:hAnsi="Calibri" w:cs="Calibri"/>
          <w:color w:val="auto"/>
          <w:lang w:val="sr-Cyrl-RS"/>
        </w:rPr>
        <w:t xml:space="preserve"> </w:t>
      </w:r>
      <w:r w:rsidR="007D66C4">
        <w:rPr>
          <w:rStyle w:val="A5"/>
          <w:rFonts w:ascii="Calibri" w:hAnsi="Calibri" w:cs="Calibri"/>
          <w:color w:val="auto"/>
          <w:lang w:val="sr-Cyrl-RS"/>
        </w:rPr>
        <w:t>2024. године,</w:t>
      </w:r>
      <w:r>
        <w:rPr>
          <w:rStyle w:val="A5"/>
          <w:rFonts w:ascii="Calibri" w:hAnsi="Calibri" w:cs="Calibri"/>
          <w:color w:val="auto"/>
          <w:lang w:val="sr-Cyrl-RS"/>
        </w:rPr>
        <w:t xml:space="preserve"> </w:t>
      </w:r>
      <w:r w:rsidR="005C34D6">
        <w:rPr>
          <w:rStyle w:val="A5"/>
          <w:rFonts w:ascii="Calibri" w:hAnsi="Calibri" w:cs="Calibri"/>
          <w:color w:val="auto"/>
          <w:lang w:val="sr-Cyrl-RS"/>
        </w:rPr>
        <w:t>док је</w:t>
      </w:r>
      <w:r w:rsidRPr="00C91EB7">
        <w:rPr>
          <w:rStyle w:val="A5"/>
          <w:rFonts w:ascii="Calibri" w:hAnsi="Calibri" w:cs="Calibri"/>
          <w:color w:val="auto"/>
          <w:lang w:val="sr-Cyrl-RS"/>
        </w:rPr>
        <w:t xml:space="preserve"> извјештај</w:t>
      </w:r>
      <w:r>
        <w:rPr>
          <w:rStyle w:val="A5"/>
          <w:rFonts w:ascii="Calibri" w:hAnsi="Calibri" w:cs="Calibri"/>
          <w:color w:val="auto"/>
          <w:lang w:val="sr-Cyrl-RS"/>
        </w:rPr>
        <w:t xml:space="preserve"> о вањском вредновању </w:t>
      </w:r>
      <w:r w:rsidR="007D66C4">
        <w:rPr>
          <w:rStyle w:val="A5"/>
          <w:rFonts w:ascii="Calibri" w:hAnsi="Calibri" w:cs="Calibri"/>
          <w:color w:val="auto"/>
          <w:lang w:val="sr-Cyrl-RS"/>
        </w:rPr>
        <w:t xml:space="preserve">установе достављен Агенцији у јуну 2024. године. </w:t>
      </w:r>
      <w:r w:rsidR="007D66C4" w:rsidRPr="008C004A">
        <w:rPr>
          <w:rStyle w:val="A5"/>
          <w:rFonts w:ascii="Calibri" w:hAnsi="Calibri" w:cs="Calibri"/>
          <w:color w:val="auto"/>
          <w:lang w:val="sr-Cyrl-RS"/>
        </w:rPr>
        <w:t>Агенција је у јулу 2024. године у складу са препоруком Комисије стручњака, Закључком Акре</w:t>
      </w:r>
      <w:r w:rsidR="007D66C4">
        <w:rPr>
          <w:rStyle w:val="A5"/>
          <w:rFonts w:ascii="Calibri" w:hAnsi="Calibri" w:cs="Calibri"/>
          <w:color w:val="auto"/>
          <w:lang w:val="sr-Cyrl-RS"/>
        </w:rPr>
        <w:t>дитацијског вијећа и препоруком Агенције</w:t>
      </w:r>
      <w:r w:rsidR="007D66C4" w:rsidRPr="008C004A">
        <w:rPr>
          <w:rStyle w:val="A5"/>
          <w:rFonts w:ascii="Calibri" w:hAnsi="Calibri" w:cs="Calibri"/>
          <w:color w:val="auto"/>
          <w:lang w:val="sr-Cyrl-RS"/>
        </w:rPr>
        <w:t xml:space="preserve"> за развој високог образовања и обезбјеђење квалитета у БиХ</w:t>
      </w:r>
      <w:r w:rsidR="002247BB">
        <w:rPr>
          <w:rStyle w:val="A5"/>
          <w:rFonts w:ascii="Calibri" w:hAnsi="Calibri" w:cs="Calibri"/>
          <w:color w:val="auto"/>
          <w:lang w:val="sr-Cyrl-RS"/>
        </w:rPr>
        <w:t xml:space="preserve"> (у даљем тексту: ХЕА)</w:t>
      </w:r>
      <w:r w:rsidR="007D66C4">
        <w:rPr>
          <w:rStyle w:val="A5"/>
          <w:rFonts w:ascii="Calibri" w:hAnsi="Calibri" w:cs="Calibri"/>
          <w:color w:val="auto"/>
          <w:lang w:val="sr-Cyrl-RS"/>
        </w:rPr>
        <w:t>,</w:t>
      </w:r>
      <w:r w:rsidR="007D66C4" w:rsidRPr="008C004A">
        <w:rPr>
          <w:rStyle w:val="A5"/>
          <w:rFonts w:ascii="Calibri" w:hAnsi="Calibri" w:cs="Calibri"/>
          <w:color w:val="auto"/>
          <w:lang w:val="sr-Cyrl-RS"/>
        </w:rPr>
        <w:t xml:space="preserve"> издала рјешење о акред</w:t>
      </w:r>
      <w:r w:rsidR="007D66C4">
        <w:rPr>
          <w:rStyle w:val="A5"/>
          <w:rFonts w:ascii="Calibri" w:hAnsi="Calibri" w:cs="Calibri"/>
          <w:color w:val="auto"/>
          <w:lang w:val="sr-Cyrl-RS"/>
        </w:rPr>
        <w:t xml:space="preserve">итацији високошколске установе. </w:t>
      </w:r>
      <w:r>
        <w:rPr>
          <w:rStyle w:val="A5"/>
          <w:rFonts w:ascii="Calibri" w:hAnsi="Calibri" w:cs="Calibri"/>
          <w:color w:val="auto"/>
          <w:lang w:val="sr-Cyrl-RS"/>
        </w:rPr>
        <w:t>Други дио посјете</w:t>
      </w:r>
      <w:r w:rsidR="007D66C4">
        <w:rPr>
          <w:rStyle w:val="A5"/>
          <w:rFonts w:ascii="Calibri" w:hAnsi="Calibri" w:cs="Calibri"/>
          <w:color w:val="auto"/>
          <w:lang w:val="sr-Cyrl-RS"/>
        </w:rPr>
        <w:t xml:space="preserve"> Универзитету </w:t>
      </w:r>
      <w:r>
        <w:rPr>
          <w:rStyle w:val="A5"/>
          <w:rFonts w:ascii="Calibri" w:hAnsi="Calibri" w:cs="Calibri"/>
          <w:color w:val="auto"/>
          <w:lang w:val="sr-Cyrl-RS"/>
        </w:rPr>
        <w:t xml:space="preserve"> је</w:t>
      </w:r>
      <w:r w:rsidR="007D66C4">
        <w:rPr>
          <w:rStyle w:val="A5"/>
          <w:rFonts w:ascii="Calibri" w:hAnsi="Calibri" w:cs="Calibri"/>
          <w:color w:val="auto"/>
          <w:lang w:val="sr-Cyrl-RS"/>
        </w:rPr>
        <w:t xml:space="preserve"> реализован</w:t>
      </w:r>
      <w:r>
        <w:rPr>
          <w:rStyle w:val="A5"/>
          <w:rFonts w:ascii="Calibri" w:hAnsi="Calibri" w:cs="Calibri"/>
          <w:color w:val="auto"/>
          <w:lang w:val="sr-Cyrl-RS"/>
        </w:rPr>
        <w:t xml:space="preserve"> </w:t>
      </w:r>
      <w:r w:rsidRPr="00C91EB7">
        <w:rPr>
          <w:rStyle w:val="A5"/>
          <w:rFonts w:ascii="Calibri" w:hAnsi="Calibri" w:cs="Calibri"/>
          <w:color w:val="auto"/>
          <w:lang w:val="sr-Cyrl-RS"/>
        </w:rPr>
        <w:t>у априлу 2024. године, након</w:t>
      </w:r>
      <w:r w:rsidRPr="00A45FFB">
        <w:rPr>
          <w:rStyle w:val="A5"/>
          <w:rFonts w:ascii="Calibri" w:hAnsi="Calibri" w:cs="Calibri"/>
          <w:color w:val="auto"/>
          <w:lang w:val="sr-Cyrl-RS"/>
        </w:rPr>
        <w:t xml:space="preserve"> чега је Комисија стручњака </w:t>
      </w:r>
      <w:r w:rsidR="007D66C4">
        <w:rPr>
          <w:rStyle w:val="A5"/>
          <w:rFonts w:ascii="Calibri" w:hAnsi="Calibri" w:cs="Calibri"/>
          <w:color w:val="auto"/>
          <w:lang w:val="sr-Cyrl-RS"/>
        </w:rPr>
        <w:t>сачинила</w:t>
      </w:r>
      <w:r w:rsidRPr="00A45FFB">
        <w:rPr>
          <w:rStyle w:val="A5"/>
          <w:rFonts w:ascii="Calibri" w:hAnsi="Calibri" w:cs="Calibri"/>
          <w:color w:val="auto"/>
          <w:lang w:val="sr-Cyrl-RS"/>
        </w:rPr>
        <w:t xml:space="preserve"> извјештај о вањском вредновању</w:t>
      </w:r>
      <w:r>
        <w:rPr>
          <w:rStyle w:val="A5"/>
          <w:rFonts w:ascii="Calibri" w:hAnsi="Calibri" w:cs="Calibri"/>
          <w:color w:val="auto"/>
          <w:lang w:val="sr-Cyrl-RS"/>
        </w:rPr>
        <w:t xml:space="preserve"> студијских програма</w:t>
      </w:r>
      <w:r w:rsidR="007D66C4">
        <w:rPr>
          <w:rStyle w:val="A5"/>
          <w:rFonts w:ascii="Calibri" w:hAnsi="Calibri" w:cs="Calibri"/>
          <w:color w:val="auto"/>
          <w:lang w:val="sr-Cyrl-RS"/>
        </w:rPr>
        <w:t xml:space="preserve"> који је </w:t>
      </w:r>
      <w:r>
        <w:rPr>
          <w:rStyle w:val="A5"/>
          <w:rFonts w:ascii="Calibri" w:hAnsi="Calibri" w:cs="Calibri"/>
          <w:color w:val="auto"/>
          <w:lang w:val="sr-Cyrl-RS"/>
        </w:rPr>
        <w:t xml:space="preserve"> </w:t>
      </w:r>
      <w:r w:rsidR="007D66C4">
        <w:rPr>
          <w:rStyle w:val="A5"/>
          <w:rFonts w:ascii="Calibri" w:hAnsi="Calibri" w:cs="Calibri"/>
          <w:color w:val="auto"/>
          <w:lang w:val="sr-Cyrl-RS"/>
        </w:rPr>
        <w:t xml:space="preserve">достављен Агенцији у </w:t>
      </w:r>
      <w:r>
        <w:rPr>
          <w:rStyle w:val="A5"/>
          <w:rFonts w:ascii="Calibri" w:hAnsi="Calibri" w:cs="Calibri"/>
          <w:color w:val="auto"/>
          <w:lang w:val="sr-Cyrl-RS"/>
        </w:rPr>
        <w:t xml:space="preserve">децембру </w:t>
      </w:r>
      <w:r w:rsidRPr="008C004A">
        <w:rPr>
          <w:rStyle w:val="A5"/>
          <w:rFonts w:ascii="Calibri" w:hAnsi="Calibri" w:cs="Calibri"/>
          <w:color w:val="auto"/>
          <w:lang w:val="sr-Cyrl-RS"/>
        </w:rPr>
        <w:t>2024. године</w:t>
      </w:r>
      <w:r w:rsidR="0036525E">
        <w:rPr>
          <w:rStyle w:val="A5"/>
          <w:rFonts w:ascii="Calibri" w:hAnsi="Calibri" w:cs="Calibri"/>
          <w:color w:val="auto"/>
          <w:lang w:val="sr-Cyrl-RS"/>
        </w:rPr>
        <w:t xml:space="preserve">. </w:t>
      </w:r>
      <w:r>
        <w:rPr>
          <w:rStyle w:val="A5"/>
          <w:rFonts w:ascii="Calibri" w:hAnsi="Calibri" w:cs="Calibri"/>
          <w:color w:val="auto"/>
          <w:lang w:val="sr-Cyrl-RS"/>
        </w:rPr>
        <w:t>Акредитацијско вијеће је у децембру</w:t>
      </w:r>
      <w:r w:rsidRPr="008C004A">
        <w:rPr>
          <w:rStyle w:val="A5"/>
          <w:rFonts w:ascii="Calibri" w:hAnsi="Calibri" w:cs="Calibri"/>
          <w:color w:val="auto"/>
          <w:lang w:val="sr-Cyrl-RS"/>
        </w:rPr>
        <w:t xml:space="preserve"> 2024. године донијело Мишљење о усклађености поступка вањског вредновања</w:t>
      </w:r>
      <w:r w:rsidR="0036525E">
        <w:rPr>
          <w:rStyle w:val="A5"/>
          <w:rFonts w:ascii="Calibri" w:hAnsi="Calibri" w:cs="Calibri"/>
          <w:color w:val="auto"/>
          <w:lang w:val="sr-Cyrl-RS"/>
        </w:rPr>
        <w:t xml:space="preserve"> студијских програма са стандардима, критеријумима и законским прописима. </w:t>
      </w:r>
      <w:r w:rsidRPr="008C004A">
        <w:rPr>
          <w:rStyle w:val="A5"/>
          <w:rFonts w:ascii="Calibri" w:hAnsi="Calibri" w:cs="Calibri"/>
          <w:color w:val="auto"/>
          <w:lang w:val="sr-Cyrl-RS"/>
        </w:rPr>
        <w:t xml:space="preserve"> </w:t>
      </w:r>
    </w:p>
    <w:p w:rsidR="00B23B31" w:rsidRDefault="00637F6E" w:rsidP="00B23B31">
      <w:pPr>
        <w:spacing w:after="240" w:line="276" w:lineRule="auto"/>
        <w:jc w:val="both"/>
        <w:rPr>
          <w:rStyle w:val="A5"/>
          <w:rFonts w:ascii="Calibri" w:hAnsi="Calibri" w:cs="Calibri"/>
          <w:color w:val="000000" w:themeColor="text1"/>
          <w:lang w:val="sr-Latn-BA"/>
        </w:rPr>
      </w:pPr>
      <w:r>
        <w:rPr>
          <w:rStyle w:val="A5"/>
          <w:rFonts w:ascii="Calibri" w:hAnsi="Calibri" w:cs="Calibri"/>
          <w:color w:val="000000" w:themeColor="text1"/>
          <w:lang w:val="sr-Cyrl-RS"/>
        </w:rPr>
        <w:t xml:space="preserve">У </w:t>
      </w:r>
      <w:r w:rsidR="0036525E">
        <w:rPr>
          <w:rStyle w:val="A5"/>
          <w:rFonts w:ascii="Calibri" w:hAnsi="Calibri" w:cs="Calibri"/>
          <w:color w:val="000000" w:themeColor="text1"/>
          <w:lang w:val="sr-Cyrl-RS"/>
        </w:rPr>
        <w:t xml:space="preserve">2024. години започела је </w:t>
      </w:r>
      <w:r w:rsidRPr="00680456">
        <w:rPr>
          <w:rStyle w:val="A5"/>
          <w:rFonts w:ascii="Calibri" w:hAnsi="Calibri" w:cs="Calibri"/>
          <w:color w:val="000000" w:themeColor="text1"/>
        </w:rPr>
        <w:t xml:space="preserve">међународна акредитација студијског програма </w:t>
      </w:r>
      <w:r w:rsidRPr="00827509">
        <w:rPr>
          <w:rStyle w:val="A5"/>
          <w:rFonts w:ascii="Calibri" w:hAnsi="Calibri" w:cs="Calibri"/>
          <w:b/>
          <w:color w:val="000000" w:themeColor="text1"/>
        </w:rPr>
        <w:t>Медицина на Медицинском факултету у Фочи</w:t>
      </w:r>
      <w:r w:rsidRPr="00827509">
        <w:rPr>
          <w:rStyle w:val="A5"/>
          <w:rFonts w:ascii="Calibri" w:hAnsi="Calibri" w:cs="Calibri"/>
          <w:b/>
          <w:color w:val="000000" w:themeColor="text1"/>
          <w:lang w:val="sr-Cyrl-RS"/>
        </w:rPr>
        <w:t xml:space="preserve"> </w:t>
      </w:r>
      <w:r>
        <w:rPr>
          <w:rStyle w:val="A5"/>
          <w:rFonts w:ascii="Calibri" w:hAnsi="Calibri" w:cs="Calibri"/>
          <w:color w:val="000000" w:themeColor="text1"/>
          <w:lang w:val="sr-Cyrl-RS"/>
        </w:rPr>
        <w:t xml:space="preserve">и студијског програма </w:t>
      </w:r>
      <w:r w:rsidRPr="00827509">
        <w:rPr>
          <w:rStyle w:val="A5"/>
          <w:rFonts w:ascii="Calibri" w:hAnsi="Calibri" w:cs="Calibri"/>
          <w:b/>
          <w:color w:val="000000" w:themeColor="text1"/>
          <w:lang w:val="sr-Cyrl-RS"/>
        </w:rPr>
        <w:t>Медицина на Медицинском факултету у  Бањој Луци</w:t>
      </w:r>
      <w:r>
        <w:rPr>
          <w:rStyle w:val="A5"/>
          <w:rFonts w:ascii="Calibri" w:hAnsi="Calibri" w:cs="Calibri"/>
          <w:color w:val="000000" w:themeColor="text1"/>
          <w:lang w:val="sr-Cyrl-RS"/>
        </w:rPr>
        <w:t xml:space="preserve"> </w:t>
      </w:r>
      <w:r w:rsidRPr="00680456">
        <w:rPr>
          <w:rStyle w:val="A5"/>
          <w:rFonts w:ascii="Calibri" w:hAnsi="Calibri" w:cs="Calibri"/>
          <w:color w:val="000000" w:themeColor="text1"/>
        </w:rPr>
        <w:t>коју спроводи Комитет за акредитацију Мађарске (</w:t>
      </w:r>
      <w:r w:rsidR="001A4B0E">
        <w:rPr>
          <w:rStyle w:val="A5"/>
          <w:rFonts w:ascii="Calibri" w:hAnsi="Calibri" w:cs="Calibri"/>
          <w:color w:val="000000" w:themeColor="text1"/>
        </w:rPr>
        <w:t>MAB</w:t>
      </w:r>
      <w:r w:rsidRPr="00680456">
        <w:rPr>
          <w:rStyle w:val="A5"/>
          <w:rFonts w:ascii="Calibri" w:hAnsi="Calibri" w:cs="Calibri"/>
          <w:color w:val="000000" w:themeColor="text1"/>
        </w:rPr>
        <w:t>)</w:t>
      </w:r>
      <w:r w:rsidR="001A4B0E" w:rsidRPr="002463C0">
        <w:rPr>
          <w:rFonts w:cstheme="minorHAnsi"/>
          <w:vertAlign w:val="superscript"/>
        </w:rPr>
        <w:footnoteReference w:id="10"/>
      </w:r>
      <w:r>
        <w:rPr>
          <w:rStyle w:val="A5"/>
          <w:rFonts w:ascii="Calibri" w:hAnsi="Calibri" w:cs="Calibri"/>
          <w:color w:val="000000" w:themeColor="text1"/>
        </w:rPr>
        <w:t xml:space="preserve">. </w:t>
      </w:r>
      <w:r>
        <w:rPr>
          <w:rStyle w:val="A5"/>
          <w:rFonts w:ascii="Calibri" w:hAnsi="Calibri" w:cs="Calibri"/>
          <w:color w:val="000000" w:themeColor="text1"/>
          <w:lang w:val="sr-Cyrl-RS"/>
        </w:rPr>
        <w:t xml:space="preserve">Два медицинска факултета </w:t>
      </w:r>
      <w:r w:rsidR="00685F6D">
        <w:rPr>
          <w:rStyle w:val="A5"/>
          <w:rFonts w:ascii="Calibri" w:hAnsi="Calibri" w:cs="Calibri"/>
          <w:color w:val="000000" w:themeColor="text1"/>
          <w:lang w:val="sr-Cyrl-RS"/>
        </w:rPr>
        <w:t xml:space="preserve">су се </w:t>
      </w:r>
      <w:r>
        <w:rPr>
          <w:rStyle w:val="A5"/>
          <w:rFonts w:ascii="Calibri" w:hAnsi="Calibri" w:cs="Calibri"/>
          <w:color w:val="000000" w:themeColor="text1"/>
          <w:lang w:val="sr-Cyrl-RS"/>
        </w:rPr>
        <w:t>обратил</w:t>
      </w:r>
      <w:r w:rsidR="00685F6D">
        <w:rPr>
          <w:rStyle w:val="A5"/>
          <w:rFonts w:ascii="Calibri" w:hAnsi="Calibri" w:cs="Calibri"/>
          <w:color w:val="000000" w:themeColor="text1"/>
          <w:lang w:val="sr-Cyrl-RS"/>
        </w:rPr>
        <w:t>а</w:t>
      </w:r>
      <w:r>
        <w:rPr>
          <w:rStyle w:val="A5"/>
          <w:rFonts w:ascii="Calibri" w:hAnsi="Calibri" w:cs="Calibri"/>
          <w:color w:val="000000" w:themeColor="text1"/>
          <w:lang w:val="sr-Cyrl-RS"/>
        </w:rPr>
        <w:t xml:space="preserve"> су Агенцији захтјевом за посредовање у поступку међународне акредитације у односу на стандарде Свјетске федерације медицинског образовања (</w:t>
      </w:r>
      <w:r>
        <w:rPr>
          <w:rStyle w:val="A5"/>
          <w:rFonts w:ascii="Calibri" w:hAnsi="Calibri" w:cs="Calibri"/>
          <w:color w:val="000000" w:themeColor="text1"/>
          <w:lang w:val="sr-Latn-RS"/>
        </w:rPr>
        <w:t>WFME)</w:t>
      </w:r>
      <w:r w:rsidR="001A4B0E" w:rsidRPr="001A4B0E">
        <w:rPr>
          <w:rFonts w:cstheme="minorHAnsi"/>
          <w:vertAlign w:val="superscript"/>
        </w:rPr>
        <w:t xml:space="preserve"> </w:t>
      </w:r>
      <w:r w:rsidR="001A4B0E" w:rsidRPr="00D47E31">
        <w:rPr>
          <w:rFonts w:cstheme="minorHAnsi"/>
          <w:vertAlign w:val="superscript"/>
        </w:rPr>
        <w:footnoteReference w:id="11"/>
      </w:r>
      <w:r w:rsidR="001A4B0E" w:rsidRPr="00D47E31">
        <w:rPr>
          <w:rFonts w:cstheme="minorHAnsi"/>
          <w:sz w:val="22"/>
          <w:szCs w:val="22"/>
          <w:vertAlign w:val="superscript"/>
        </w:rPr>
        <w:t>.</w:t>
      </w:r>
      <w:r>
        <w:rPr>
          <w:rStyle w:val="A5"/>
          <w:rFonts w:ascii="Calibri" w:hAnsi="Calibri" w:cs="Calibri"/>
          <w:color w:val="000000" w:themeColor="text1"/>
          <w:lang w:val="sr-Cyrl-RS"/>
        </w:rPr>
        <w:t>. Агенција је анализирала које европске агенције</w:t>
      </w:r>
      <w:r>
        <w:rPr>
          <w:rStyle w:val="A5"/>
          <w:rFonts w:ascii="Calibri" w:hAnsi="Calibri" w:cs="Calibri"/>
          <w:color w:val="000000" w:themeColor="text1"/>
          <w:lang w:val="sr-Latn-RS"/>
        </w:rPr>
        <w:t xml:space="preserve"> </w:t>
      </w:r>
      <w:r>
        <w:rPr>
          <w:rStyle w:val="A5"/>
          <w:rFonts w:ascii="Calibri" w:hAnsi="Calibri" w:cs="Calibri"/>
          <w:color w:val="000000" w:themeColor="text1"/>
          <w:lang w:val="sr-Cyrl-RS"/>
        </w:rPr>
        <w:t xml:space="preserve">за обезбјеђење квалитета имају акредитацију </w:t>
      </w:r>
      <w:r>
        <w:rPr>
          <w:rStyle w:val="A5"/>
          <w:rFonts w:ascii="Calibri" w:hAnsi="Calibri" w:cs="Calibri"/>
          <w:color w:val="000000" w:themeColor="text1"/>
          <w:lang w:val="sr-Latn-RS"/>
        </w:rPr>
        <w:t>WFME, те организовала са</w:t>
      </w:r>
      <w:r>
        <w:rPr>
          <w:rStyle w:val="A5"/>
          <w:rFonts w:ascii="Calibri" w:hAnsi="Calibri" w:cs="Calibri"/>
          <w:color w:val="000000" w:themeColor="text1"/>
          <w:lang w:val="sr-Cyrl-RS"/>
        </w:rPr>
        <w:t>станак са Комитетом за акредитацију Мађарске који је прихватио приједлог за реализацију ових поступака. У јануару 2024. године организован је састанак са представницима двије агенције и представницима два медицинска факултета како би се договорио ходограм активности око припреме самоевалуационих извјештаја, подношења захтјева за акредитацију и потписивања уговора. Агенциј</w:t>
      </w:r>
      <w:r w:rsidR="00685F6D">
        <w:rPr>
          <w:rStyle w:val="A5"/>
          <w:rFonts w:ascii="Calibri" w:hAnsi="Calibri" w:cs="Calibri"/>
          <w:color w:val="000000" w:themeColor="text1"/>
          <w:lang w:val="sr-Cyrl-RS"/>
        </w:rPr>
        <w:t xml:space="preserve">а је посредовала између </w:t>
      </w:r>
      <w:r w:rsidR="00685F6D">
        <w:rPr>
          <w:rStyle w:val="A5"/>
          <w:rFonts w:ascii="Calibri" w:hAnsi="Calibri" w:cs="Calibri"/>
          <w:color w:val="000000" w:themeColor="text1"/>
          <w:lang w:val="sr-Latn-RS"/>
        </w:rPr>
        <w:t>MAB-a</w:t>
      </w:r>
      <w:r>
        <w:rPr>
          <w:rStyle w:val="A5"/>
          <w:rFonts w:ascii="Calibri" w:hAnsi="Calibri" w:cs="Calibri"/>
          <w:color w:val="000000" w:themeColor="text1"/>
          <w:lang w:val="sr-Cyrl-RS"/>
        </w:rPr>
        <w:t xml:space="preserve"> и два медицинска факултета током свих активности које су предузете </w:t>
      </w:r>
      <w:r w:rsidR="00B46672">
        <w:rPr>
          <w:rStyle w:val="A5"/>
          <w:rFonts w:ascii="Calibri" w:hAnsi="Calibri" w:cs="Calibri"/>
          <w:color w:val="000000" w:themeColor="text1"/>
          <w:lang w:val="sr-Cyrl-RS"/>
        </w:rPr>
        <w:t>током 2024. године</w:t>
      </w:r>
      <w:r>
        <w:rPr>
          <w:rStyle w:val="A5"/>
          <w:rFonts w:ascii="Calibri" w:hAnsi="Calibri" w:cs="Calibri"/>
          <w:color w:val="000000" w:themeColor="text1"/>
          <w:lang w:val="sr-Cyrl-RS"/>
        </w:rPr>
        <w:t xml:space="preserve">, те одржала низ састанака са свим актерима. </w:t>
      </w:r>
    </w:p>
    <w:p w:rsidR="00B23B31" w:rsidRDefault="0036525E" w:rsidP="00B23B31">
      <w:pPr>
        <w:spacing w:after="240" w:line="276" w:lineRule="auto"/>
        <w:jc w:val="both"/>
        <w:rPr>
          <w:rStyle w:val="A5"/>
          <w:rFonts w:ascii="Calibri" w:hAnsi="Calibri" w:cs="Calibri"/>
          <w:color w:val="000000" w:themeColor="text1"/>
          <w:lang w:val="sr-Latn-BA"/>
        </w:rPr>
      </w:pPr>
      <w:r>
        <w:rPr>
          <w:rStyle w:val="A5"/>
          <w:rFonts w:ascii="Calibri" w:hAnsi="Calibri" w:cs="Calibri"/>
          <w:color w:val="000000" w:themeColor="text1"/>
          <w:lang w:val="sr-Cyrl-RS"/>
        </w:rPr>
        <w:t xml:space="preserve">Након провјере легитимности за рад </w:t>
      </w:r>
      <w:r w:rsidR="00637F6E" w:rsidRPr="00D1580F">
        <w:rPr>
          <w:rStyle w:val="A5"/>
          <w:rFonts w:ascii="Calibri" w:hAnsi="Calibri" w:cs="Calibri"/>
          <w:b/>
          <w:color w:val="000000" w:themeColor="text1"/>
          <w:lang w:val="sr-Cyrl-RS"/>
        </w:rPr>
        <w:t>Универзитета за пословне студије, Бања Лука</w:t>
      </w:r>
      <w:r>
        <w:rPr>
          <w:rStyle w:val="A5"/>
          <w:rFonts w:ascii="Calibri" w:hAnsi="Calibri" w:cs="Calibri"/>
          <w:color w:val="000000" w:themeColor="text1"/>
          <w:lang w:val="sr-Cyrl-RS"/>
        </w:rPr>
        <w:t xml:space="preserve">, </w:t>
      </w:r>
      <w:r w:rsidR="00637F6E">
        <w:rPr>
          <w:rStyle w:val="A5"/>
          <w:rFonts w:ascii="Calibri" w:hAnsi="Calibri" w:cs="Calibri"/>
          <w:color w:val="000000" w:themeColor="text1"/>
          <w:lang w:val="sr-Cyrl-RS"/>
        </w:rPr>
        <w:t xml:space="preserve">у </w:t>
      </w:r>
      <w:r>
        <w:rPr>
          <w:rStyle w:val="A5"/>
          <w:rFonts w:ascii="Calibri" w:hAnsi="Calibri" w:cs="Calibri"/>
          <w:color w:val="000000" w:themeColor="text1"/>
          <w:lang w:val="sr-Cyrl-RS"/>
        </w:rPr>
        <w:t xml:space="preserve">октобру </w:t>
      </w:r>
      <w:r w:rsidR="00637F6E">
        <w:rPr>
          <w:rStyle w:val="A5"/>
          <w:rFonts w:ascii="Calibri" w:hAnsi="Calibri" w:cs="Calibri"/>
          <w:color w:val="000000" w:themeColor="text1"/>
          <w:lang w:val="sr-Cyrl-RS"/>
        </w:rPr>
        <w:t xml:space="preserve">2024. године </w:t>
      </w:r>
      <w:r w:rsidR="00685F6D">
        <w:rPr>
          <w:rStyle w:val="A5"/>
          <w:rFonts w:ascii="Calibri" w:hAnsi="Calibri" w:cs="Calibri"/>
          <w:color w:val="000000" w:themeColor="text1"/>
          <w:lang w:val="sr-Latn-RS"/>
        </w:rPr>
        <w:t xml:space="preserve">je </w:t>
      </w:r>
      <w:r w:rsidR="00685F6D">
        <w:rPr>
          <w:rStyle w:val="A5"/>
          <w:rFonts w:ascii="Calibri" w:hAnsi="Calibri" w:cs="Calibri"/>
          <w:color w:val="000000" w:themeColor="text1"/>
          <w:lang w:val="sr-Cyrl-RS"/>
        </w:rPr>
        <w:t xml:space="preserve">именована </w:t>
      </w:r>
      <w:r w:rsidR="00637F6E" w:rsidRPr="007C7563">
        <w:rPr>
          <w:rStyle w:val="A5"/>
          <w:rFonts w:ascii="Calibri" w:hAnsi="Calibri" w:cs="Calibri"/>
          <w:color w:val="000000" w:themeColor="text1"/>
          <w:lang w:val="sr-Cyrl-RS"/>
        </w:rPr>
        <w:t>Комисиј</w:t>
      </w:r>
      <w:r>
        <w:rPr>
          <w:rStyle w:val="A5"/>
          <w:rFonts w:ascii="Calibri" w:hAnsi="Calibri" w:cs="Calibri"/>
          <w:color w:val="000000" w:themeColor="text1"/>
          <w:lang w:val="sr-Cyrl-RS"/>
        </w:rPr>
        <w:t>а</w:t>
      </w:r>
      <w:r w:rsidR="00637F6E" w:rsidRPr="007C7563">
        <w:rPr>
          <w:rStyle w:val="A5"/>
          <w:rFonts w:ascii="Calibri" w:hAnsi="Calibri" w:cs="Calibri"/>
          <w:color w:val="000000" w:themeColor="text1"/>
          <w:lang w:val="sr-Cyrl-RS"/>
        </w:rPr>
        <w:t xml:space="preserve"> стручњака за оцјењивање и ревизију квалитета </w:t>
      </w:r>
      <w:r w:rsidR="00637F6E">
        <w:rPr>
          <w:rStyle w:val="A5"/>
          <w:rFonts w:ascii="Calibri" w:hAnsi="Calibri" w:cs="Calibri"/>
          <w:color w:val="000000" w:themeColor="text1"/>
          <w:lang w:val="sr-Cyrl-RS"/>
        </w:rPr>
        <w:t>установе</w:t>
      </w:r>
      <w:r w:rsidR="001F7CC7">
        <w:rPr>
          <w:rStyle w:val="A5"/>
          <w:rFonts w:ascii="Calibri" w:hAnsi="Calibri" w:cs="Calibri"/>
          <w:color w:val="000000" w:themeColor="text1"/>
          <w:lang w:val="sr-Cyrl-RS"/>
        </w:rPr>
        <w:t xml:space="preserve"> и студијских програма</w:t>
      </w:r>
      <w:r>
        <w:rPr>
          <w:rStyle w:val="A5"/>
          <w:rFonts w:ascii="Calibri" w:hAnsi="Calibri" w:cs="Calibri"/>
          <w:color w:val="000000" w:themeColor="text1"/>
          <w:lang w:val="sr-Cyrl-RS"/>
        </w:rPr>
        <w:t xml:space="preserve">, након чега је са установом закључен </w:t>
      </w:r>
      <w:r w:rsidR="00637F6E" w:rsidRPr="00B07C14">
        <w:rPr>
          <w:rStyle w:val="A5"/>
          <w:rFonts w:ascii="Calibri" w:hAnsi="Calibri" w:cs="Calibri"/>
          <w:color w:val="000000" w:themeColor="text1"/>
          <w:lang w:val="sr-Cyrl-RS"/>
        </w:rPr>
        <w:t xml:space="preserve"> Уговор са за услуге акредитације установе и студијских програма.</w:t>
      </w:r>
      <w:r w:rsidR="00637F6E" w:rsidRPr="00B07C14">
        <w:t xml:space="preserve"> </w:t>
      </w:r>
      <w:r w:rsidR="00637F6E" w:rsidRPr="00B07C14">
        <w:rPr>
          <w:rStyle w:val="A5"/>
          <w:rFonts w:ascii="Calibri" w:hAnsi="Calibri" w:cs="Calibri"/>
          <w:color w:val="000000" w:themeColor="text1"/>
          <w:lang w:val="sr-Cyrl-RS"/>
        </w:rPr>
        <w:t xml:space="preserve">Посјета високошколској установи </w:t>
      </w:r>
      <w:r w:rsidR="00637F6E">
        <w:rPr>
          <w:rStyle w:val="A5"/>
          <w:rFonts w:ascii="Calibri" w:hAnsi="Calibri" w:cs="Calibri"/>
          <w:color w:val="000000" w:themeColor="text1"/>
          <w:lang w:val="sr-Cyrl-RS"/>
        </w:rPr>
        <w:t xml:space="preserve">је </w:t>
      </w:r>
      <w:r>
        <w:rPr>
          <w:rStyle w:val="A5"/>
          <w:rFonts w:ascii="Calibri" w:hAnsi="Calibri" w:cs="Calibri"/>
          <w:color w:val="000000" w:themeColor="text1"/>
          <w:lang w:val="sr-Cyrl-RS"/>
        </w:rPr>
        <w:t xml:space="preserve">реализована у </w:t>
      </w:r>
      <w:r w:rsidR="00637F6E">
        <w:rPr>
          <w:rStyle w:val="A5"/>
          <w:rFonts w:ascii="Calibri" w:hAnsi="Calibri" w:cs="Calibri"/>
          <w:color w:val="000000" w:themeColor="text1"/>
          <w:lang w:val="sr-Cyrl-RS"/>
        </w:rPr>
        <w:t>децембру 2024. године</w:t>
      </w:r>
      <w:r w:rsidR="00637F6E" w:rsidRPr="00B07C14">
        <w:rPr>
          <w:rStyle w:val="A5"/>
          <w:rFonts w:ascii="Calibri" w:hAnsi="Calibri" w:cs="Calibri"/>
          <w:color w:val="000000" w:themeColor="text1"/>
          <w:lang w:val="sr-Cyrl-RS"/>
        </w:rPr>
        <w:t>.</w:t>
      </w:r>
    </w:p>
    <w:p w:rsidR="00F84788" w:rsidRPr="008137BE" w:rsidRDefault="00B010CE" w:rsidP="00B23B31">
      <w:pPr>
        <w:spacing w:after="240" w:line="276" w:lineRule="auto"/>
        <w:jc w:val="both"/>
        <w:rPr>
          <w:rStyle w:val="A5"/>
          <w:rFonts w:ascii="Calibri" w:hAnsi="Calibri" w:cs="Calibri"/>
          <w:color w:val="000000" w:themeColor="text1"/>
          <w:lang w:val="sr-Cyrl-RS"/>
        </w:rPr>
      </w:pPr>
      <w:r>
        <w:rPr>
          <w:rStyle w:val="A5"/>
          <w:rFonts w:ascii="Calibri" w:hAnsi="Calibri" w:cs="Calibri"/>
          <w:color w:val="000000" w:themeColor="text1"/>
          <w:lang w:val="sr-Cyrl-RS"/>
        </w:rPr>
        <w:t>У поступку ре</w:t>
      </w:r>
      <w:r w:rsidR="00B7399F">
        <w:rPr>
          <w:rStyle w:val="A5"/>
          <w:rFonts w:ascii="Calibri" w:hAnsi="Calibri" w:cs="Calibri"/>
          <w:color w:val="000000" w:themeColor="text1"/>
          <w:lang w:val="sr-Cyrl-RS"/>
        </w:rPr>
        <w:t>акредитациј</w:t>
      </w:r>
      <w:r>
        <w:rPr>
          <w:rStyle w:val="A5"/>
          <w:rFonts w:ascii="Calibri" w:hAnsi="Calibri" w:cs="Calibri"/>
          <w:color w:val="000000" w:themeColor="text1"/>
          <w:lang w:val="sr-Cyrl-RS"/>
        </w:rPr>
        <w:t>е</w:t>
      </w:r>
      <w:r w:rsidR="0072653F">
        <w:rPr>
          <w:rStyle w:val="A5"/>
          <w:rFonts w:ascii="Calibri" w:hAnsi="Calibri" w:cs="Calibri"/>
          <w:color w:val="000000" w:themeColor="text1"/>
          <w:lang w:val="sr-Cyrl-RS"/>
        </w:rPr>
        <w:t xml:space="preserve"> установе и студијских програма</w:t>
      </w:r>
      <w:r w:rsidR="00B7399F">
        <w:rPr>
          <w:rStyle w:val="A5"/>
          <w:rFonts w:ascii="Calibri" w:hAnsi="Calibri" w:cs="Calibri"/>
          <w:color w:val="000000" w:themeColor="text1"/>
          <w:lang w:val="sr-Cyrl-RS"/>
        </w:rPr>
        <w:t xml:space="preserve"> </w:t>
      </w:r>
      <w:r w:rsidR="00DB27B2" w:rsidRPr="00BB220B">
        <w:rPr>
          <w:rStyle w:val="A5"/>
          <w:rFonts w:ascii="Calibri" w:hAnsi="Calibri" w:cs="Calibri"/>
          <w:b/>
          <w:color w:val="000000" w:themeColor="text1"/>
          <w:lang w:val="sr-Cyrl-RS"/>
        </w:rPr>
        <w:t>Независ</w:t>
      </w:r>
      <w:r w:rsidR="00DB27B2">
        <w:rPr>
          <w:rStyle w:val="A5"/>
          <w:rFonts w:ascii="Calibri" w:hAnsi="Calibri" w:cs="Calibri"/>
          <w:b/>
          <w:color w:val="000000" w:themeColor="text1"/>
          <w:lang w:val="sr-Cyrl-RS"/>
        </w:rPr>
        <w:t xml:space="preserve">ног </w:t>
      </w:r>
      <w:r w:rsidR="00DB27B2" w:rsidRPr="00BB220B">
        <w:rPr>
          <w:rStyle w:val="A5"/>
          <w:rFonts w:ascii="Calibri" w:hAnsi="Calibri" w:cs="Calibri"/>
          <w:b/>
          <w:color w:val="000000" w:themeColor="text1"/>
          <w:lang w:val="sr-Cyrl-RS"/>
        </w:rPr>
        <w:t>универзитета Бања Лука</w:t>
      </w:r>
      <w:r w:rsidR="00DB27B2">
        <w:rPr>
          <w:rStyle w:val="A5"/>
          <w:rFonts w:ascii="Calibri" w:hAnsi="Calibri" w:cs="Calibri"/>
          <w:b/>
          <w:color w:val="000000" w:themeColor="text1"/>
          <w:lang w:val="sr-Cyrl-RS"/>
        </w:rPr>
        <w:t xml:space="preserve">, </w:t>
      </w:r>
      <w:r w:rsidRPr="00B010CE">
        <w:rPr>
          <w:rStyle w:val="A5"/>
          <w:rFonts w:ascii="Calibri" w:hAnsi="Calibri" w:cs="Calibri"/>
          <w:color w:val="000000" w:themeColor="text1"/>
          <w:lang w:val="sr-Cyrl-RS"/>
        </w:rPr>
        <w:t>у марту 2024. години је за</w:t>
      </w:r>
      <w:r w:rsidR="00DB27B2" w:rsidRPr="00B010CE">
        <w:rPr>
          <w:rStyle w:val="A5"/>
          <w:rFonts w:ascii="Calibri" w:hAnsi="Calibri" w:cs="Calibri"/>
          <w:color w:val="000000" w:themeColor="text1"/>
          <w:lang w:val="sr-Cyrl-RS"/>
        </w:rPr>
        <w:t>тражена провјер</w:t>
      </w:r>
      <w:r w:rsidR="00DB27B2">
        <w:rPr>
          <w:rStyle w:val="A5"/>
          <w:rFonts w:ascii="Calibri" w:hAnsi="Calibri" w:cs="Calibri"/>
          <w:color w:val="000000" w:themeColor="text1"/>
          <w:lang w:val="sr-Cyrl-RS"/>
        </w:rPr>
        <w:t>а</w:t>
      </w:r>
      <w:r w:rsidR="00DB27B2" w:rsidRPr="00BB220B">
        <w:rPr>
          <w:rStyle w:val="A5"/>
          <w:rFonts w:ascii="Calibri" w:hAnsi="Calibri" w:cs="Calibri"/>
          <w:color w:val="000000" w:themeColor="text1"/>
          <w:lang w:val="sr-Cyrl-RS"/>
        </w:rPr>
        <w:t xml:space="preserve"> легитимности </w:t>
      </w:r>
      <w:r>
        <w:rPr>
          <w:rStyle w:val="A5"/>
          <w:rFonts w:ascii="Calibri" w:hAnsi="Calibri" w:cs="Calibri"/>
          <w:color w:val="000000" w:themeColor="text1"/>
          <w:lang w:val="sr-Cyrl-RS"/>
        </w:rPr>
        <w:t xml:space="preserve">за приступ акредитацији </w:t>
      </w:r>
      <w:r w:rsidRPr="008F1366">
        <w:rPr>
          <w:rStyle w:val="A5"/>
          <w:rFonts w:ascii="Calibri" w:eastAsiaTheme="minorEastAsia" w:hAnsi="Calibri" w:cs="Calibri"/>
          <w:color w:val="auto"/>
          <w:lang w:val="sr-Cyrl-BA" w:eastAsia="bs-Latn-BA"/>
        </w:rPr>
        <w:t>код надлежних органа, Републичке управе за инспекцијске послове</w:t>
      </w:r>
      <w:r w:rsidRPr="008F1366">
        <w:rPr>
          <w:rStyle w:val="A5"/>
          <w:rFonts w:ascii="Calibri" w:eastAsiaTheme="minorEastAsia" w:hAnsi="Calibri" w:cs="Calibri"/>
          <w:color w:val="auto"/>
          <w:lang w:eastAsia="bs-Latn-BA"/>
        </w:rPr>
        <w:t xml:space="preserve"> </w:t>
      </w:r>
      <w:r w:rsidRPr="00173599">
        <w:rPr>
          <w:rStyle w:val="A5"/>
          <w:rFonts w:ascii="Calibri" w:hAnsi="Calibri" w:cs="Calibri"/>
          <w:color w:val="000000" w:themeColor="text1"/>
          <w:lang w:val="sr-Cyrl-RS"/>
        </w:rPr>
        <w:t xml:space="preserve">и Министарства. </w:t>
      </w:r>
      <w:r w:rsidR="00173599" w:rsidRPr="00173599">
        <w:rPr>
          <w:rStyle w:val="A5"/>
          <w:rFonts w:ascii="Calibri" w:hAnsi="Calibri" w:cs="Calibri"/>
          <w:color w:val="000000" w:themeColor="text1"/>
          <w:lang w:val="sr-Cyrl-RS"/>
        </w:rPr>
        <w:t xml:space="preserve">Дописим </w:t>
      </w:r>
      <w:r w:rsidR="00DB27B2" w:rsidRPr="00173599">
        <w:rPr>
          <w:rStyle w:val="A5"/>
          <w:rFonts w:ascii="Calibri" w:hAnsi="Calibri" w:cs="Calibri"/>
          <w:color w:val="000000" w:themeColor="text1"/>
          <w:lang w:val="sr-Cyrl-RS"/>
        </w:rPr>
        <w:t>Републичк</w:t>
      </w:r>
      <w:r w:rsidR="00173599" w:rsidRPr="00173599">
        <w:rPr>
          <w:rStyle w:val="A5"/>
          <w:rFonts w:ascii="Calibri" w:hAnsi="Calibri" w:cs="Calibri"/>
          <w:color w:val="000000" w:themeColor="text1"/>
          <w:lang w:val="sr-Cyrl-RS"/>
        </w:rPr>
        <w:t>е</w:t>
      </w:r>
      <w:r w:rsidR="00DB27B2" w:rsidRPr="00173599">
        <w:rPr>
          <w:rStyle w:val="A5"/>
          <w:rFonts w:ascii="Calibri" w:hAnsi="Calibri" w:cs="Calibri"/>
          <w:color w:val="000000" w:themeColor="text1"/>
          <w:lang w:val="sr-Cyrl-RS"/>
        </w:rPr>
        <w:t xml:space="preserve"> управ</w:t>
      </w:r>
      <w:r w:rsidR="00173599" w:rsidRPr="00173599">
        <w:rPr>
          <w:rStyle w:val="A5"/>
          <w:rFonts w:ascii="Calibri" w:hAnsi="Calibri" w:cs="Calibri"/>
          <w:color w:val="000000" w:themeColor="text1"/>
          <w:lang w:val="sr-Cyrl-RS"/>
        </w:rPr>
        <w:t>е</w:t>
      </w:r>
      <w:r w:rsidR="00DB27B2" w:rsidRPr="00173599">
        <w:rPr>
          <w:rStyle w:val="A5"/>
          <w:rFonts w:ascii="Calibri" w:hAnsi="Calibri" w:cs="Calibri"/>
          <w:color w:val="000000" w:themeColor="text1"/>
          <w:lang w:val="sr-Cyrl-RS"/>
        </w:rPr>
        <w:t xml:space="preserve"> за инспекцијске послове </w:t>
      </w:r>
      <w:r w:rsidR="00173599" w:rsidRPr="00173599">
        <w:rPr>
          <w:rStyle w:val="A5"/>
          <w:rFonts w:ascii="Calibri" w:hAnsi="Calibri" w:cs="Calibri"/>
          <w:color w:val="000000" w:themeColor="text1"/>
          <w:lang w:val="sr-Cyrl-RS"/>
        </w:rPr>
        <w:t xml:space="preserve">из априла </w:t>
      </w:r>
      <w:r w:rsidR="00DB27B2" w:rsidRPr="00173599">
        <w:rPr>
          <w:rStyle w:val="A5"/>
          <w:rFonts w:ascii="Calibri" w:hAnsi="Calibri" w:cs="Calibri"/>
          <w:color w:val="000000" w:themeColor="text1"/>
          <w:lang w:val="sr-Cyrl-RS"/>
        </w:rPr>
        <w:t>2024. године</w:t>
      </w:r>
      <w:r w:rsidR="00173599" w:rsidRPr="00173599">
        <w:rPr>
          <w:rStyle w:val="A5"/>
          <w:rFonts w:ascii="Calibri" w:hAnsi="Calibri" w:cs="Calibri"/>
          <w:color w:val="000000" w:themeColor="text1"/>
          <w:lang w:val="sr-Cyrl-RS"/>
        </w:rPr>
        <w:t xml:space="preserve">, </w:t>
      </w:r>
      <w:r w:rsidR="00DB27B2" w:rsidRPr="00173599">
        <w:rPr>
          <w:rStyle w:val="A5"/>
          <w:rFonts w:ascii="Calibri" w:hAnsi="Calibri" w:cs="Calibri"/>
          <w:color w:val="000000" w:themeColor="text1"/>
          <w:lang w:val="sr-Cyrl-RS"/>
        </w:rPr>
        <w:t>Агенциј</w:t>
      </w:r>
      <w:r w:rsidR="00173599" w:rsidRPr="00173599">
        <w:rPr>
          <w:rStyle w:val="A5"/>
          <w:rFonts w:ascii="Calibri" w:hAnsi="Calibri" w:cs="Calibri"/>
          <w:color w:val="000000" w:themeColor="text1"/>
          <w:lang w:val="sr-Cyrl-RS"/>
        </w:rPr>
        <w:t>а је информисана</w:t>
      </w:r>
      <w:r w:rsidR="00DB27B2" w:rsidRPr="00173599">
        <w:rPr>
          <w:rStyle w:val="A5"/>
          <w:rFonts w:ascii="Calibri" w:hAnsi="Calibri" w:cs="Calibri"/>
          <w:color w:val="000000" w:themeColor="text1"/>
          <w:lang w:val="sr-Cyrl-RS"/>
        </w:rPr>
        <w:t xml:space="preserve"> да су приликом контроле рада Независног универзитет Бања Лука утврђене </w:t>
      </w:r>
      <w:r w:rsidR="00173599" w:rsidRPr="00173599">
        <w:rPr>
          <w:rStyle w:val="A5"/>
          <w:rFonts w:ascii="Calibri" w:hAnsi="Calibri" w:cs="Calibri"/>
          <w:color w:val="000000" w:themeColor="text1"/>
          <w:lang w:val="sr-Cyrl-RS"/>
        </w:rPr>
        <w:t xml:space="preserve">одређене </w:t>
      </w:r>
      <w:r w:rsidR="00DB27B2" w:rsidRPr="00173599">
        <w:rPr>
          <w:rStyle w:val="A5"/>
          <w:rFonts w:ascii="Calibri" w:hAnsi="Calibri" w:cs="Calibri"/>
          <w:color w:val="000000" w:themeColor="text1"/>
          <w:lang w:val="sr-Cyrl-RS"/>
        </w:rPr>
        <w:t xml:space="preserve">неправилности вођења евиденције и документације, при чему су установи </w:t>
      </w:r>
      <w:r w:rsidR="00173599" w:rsidRPr="00173599">
        <w:rPr>
          <w:rStyle w:val="A5"/>
          <w:rFonts w:ascii="Calibri" w:hAnsi="Calibri" w:cs="Calibri"/>
          <w:color w:val="000000" w:themeColor="text1"/>
          <w:lang w:val="sr-Cyrl-RS"/>
        </w:rPr>
        <w:t>наложене корективне мјере. Такође је наведено да је и</w:t>
      </w:r>
      <w:r w:rsidR="00DB27B2" w:rsidRPr="00173599">
        <w:rPr>
          <w:rStyle w:val="A5"/>
          <w:rFonts w:ascii="Calibri" w:hAnsi="Calibri" w:cs="Calibri"/>
          <w:color w:val="000000" w:themeColor="text1"/>
          <w:lang w:val="sr-Cyrl-RS"/>
        </w:rPr>
        <w:t>нспекцијском контро</w:t>
      </w:r>
      <w:r w:rsidR="00173599" w:rsidRPr="00173599">
        <w:rPr>
          <w:rStyle w:val="A5"/>
          <w:rFonts w:ascii="Calibri" w:hAnsi="Calibri" w:cs="Calibri"/>
          <w:color w:val="000000" w:themeColor="text1"/>
          <w:lang w:val="sr-Cyrl-RS"/>
        </w:rPr>
        <w:t>лом извршења рјешења утврђено</w:t>
      </w:r>
      <w:r w:rsidR="00DB27B2" w:rsidRPr="00173599">
        <w:rPr>
          <w:rStyle w:val="A5"/>
          <w:rFonts w:ascii="Calibri" w:hAnsi="Calibri" w:cs="Calibri"/>
          <w:color w:val="000000" w:themeColor="text1"/>
          <w:lang w:val="sr-Cyrl-RS"/>
        </w:rPr>
        <w:t xml:space="preserve"> да је високошколска установа извршила све наложене мјере.</w:t>
      </w:r>
      <w:r w:rsidR="007236D3">
        <w:rPr>
          <w:rStyle w:val="A5"/>
          <w:rFonts w:ascii="Calibri" w:hAnsi="Calibri" w:cs="Calibri"/>
          <w:color w:val="000000" w:themeColor="text1"/>
          <w:lang w:val="sr-Cyrl-RS"/>
        </w:rPr>
        <w:t xml:space="preserve"> </w:t>
      </w:r>
      <w:r w:rsidR="00781D08">
        <w:rPr>
          <w:rStyle w:val="A5"/>
          <w:rFonts w:ascii="Calibri" w:hAnsi="Calibri" w:cs="Calibri"/>
          <w:color w:val="000000" w:themeColor="text1"/>
          <w:lang w:val="sr-Latn-RS"/>
        </w:rPr>
        <w:t xml:space="preserve"> </w:t>
      </w:r>
      <w:r w:rsidR="007236D3">
        <w:rPr>
          <w:rStyle w:val="A5"/>
          <w:rFonts w:ascii="Calibri" w:hAnsi="Calibri" w:cs="Calibri"/>
          <w:color w:val="000000" w:themeColor="text1"/>
          <w:lang w:val="sr-Cyrl-RS"/>
        </w:rPr>
        <w:t xml:space="preserve">У </w:t>
      </w:r>
      <w:r w:rsidR="00B7399F" w:rsidRPr="00BB220B">
        <w:rPr>
          <w:rStyle w:val="A5"/>
          <w:rFonts w:ascii="Calibri" w:hAnsi="Calibri" w:cs="Calibri"/>
          <w:color w:val="000000" w:themeColor="text1"/>
          <w:lang w:val="sr-Cyrl-RS"/>
        </w:rPr>
        <w:t>септембр</w:t>
      </w:r>
      <w:r w:rsidR="00B7399F">
        <w:rPr>
          <w:rStyle w:val="A5"/>
          <w:rFonts w:ascii="Calibri" w:hAnsi="Calibri" w:cs="Calibri"/>
          <w:color w:val="000000" w:themeColor="text1"/>
          <w:lang w:val="sr-Cyrl-RS"/>
        </w:rPr>
        <w:t>у</w:t>
      </w:r>
      <w:r w:rsidR="00B7399F" w:rsidRPr="00BB220B">
        <w:rPr>
          <w:rStyle w:val="A5"/>
          <w:rFonts w:ascii="Calibri" w:hAnsi="Calibri" w:cs="Calibri"/>
          <w:color w:val="000000" w:themeColor="text1"/>
          <w:lang w:val="sr-Cyrl-RS"/>
        </w:rPr>
        <w:t xml:space="preserve"> 2024. године </w:t>
      </w:r>
      <w:r w:rsidR="004350C9">
        <w:rPr>
          <w:rStyle w:val="A5"/>
          <w:rFonts w:ascii="Calibri" w:hAnsi="Calibri" w:cs="Calibri"/>
          <w:color w:val="000000" w:themeColor="text1"/>
          <w:lang w:val="sr-Cyrl-RS"/>
        </w:rPr>
        <w:t xml:space="preserve">високошколска установа је </w:t>
      </w:r>
      <w:r w:rsidR="00B7399F">
        <w:rPr>
          <w:rStyle w:val="A5"/>
          <w:rFonts w:ascii="Calibri" w:hAnsi="Calibri" w:cs="Calibri"/>
          <w:color w:val="000000" w:themeColor="text1"/>
          <w:lang w:val="sr-Cyrl-RS"/>
        </w:rPr>
        <w:t>тражи</w:t>
      </w:r>
      <w:r w:rsidR="004350C9">
        <w:rPr>
          <w:rStyle w:val="A5"/>
          <w:rFonts w:ascii="Calibri" w:hAnsi="Calibri" w:cs="Calibri"/>
          <w:color w:val="000000" w:themeColor="text1"/>
          <w:lang w:val="sr-Cyrl-RS"/>
        </w:rPr>
        <w:t>ла</w:t>
      </w:r>
      <w:r w:rsidR="00B7399F" w:rsidRPr="00BB220B">
        <w:rPr>
          <w:rStyle w:val="A5"/>
          <w:rFonts w:ascii="Calibri" w:hAnsi="Calibri" w:cs="Calibri"/>
          <w:color w:val="000000" w:themeColor="text1"/>
          <w:lang w:val="sr-Cyrl-RS"/>
        </w:rPr>
        <w:t xml:space="preserve"> да се </w:t>
      </w:r>
      <w:r w:rsidR="00B7399F">
        <w:rPr>
          <w:rStyle w:val="A5"/>
          <w:rFonts w:ascii="Calibri" w:hAnsi="Calibri" w:cs="Calibri"/>
          <w:color w:val="000000" w:themeColor="text1"/>
          <w:lang w:val="sr-Cyrl-RS"/>
        </w:rPr>
        <w:t xml:space="preserve">из поступка вањског вредновања </w:t>
      </w:r>
      <w:r w:rsidR="00B7399F" w:rsidRPr="00BB220B">
        <w:rPr>
          <w:rStyle w:val="A5"/>
          <w:rFonts w:ascii="Calibri" w:hAnsi="Calibri" w:cs="Calibri"/>
          <w:color w:val="000000" w:themeColor="text1"/>
          <w:lang w:val="sr-Cyrl-RS"/>
        </w:rPr>
        <w:t>изостав</w:t>
      </w:r>
      <w:r w:rsidR="00B7399F">
        <w:rPr>
          <w:rStyle w:val="A5"/>
          <w:rFonts w:ascii="Calibri" w:hAnsi="Calibri" w:cs="Calibri"/>
          <w:color w:val="000000" w:themeColor="text1"/>
          <w:lang w:val="sr-Cyrl-RS"/>
        </w:rPr>
        <w:t>е</w:t>
      </w:r>
      <w:r w:rsidR="00B7399F" w:rsidRPr="00BB220B">
        <w:rPr>
          <w:rStyle w:val="A5"/>
          <w:rFonts w:ascii="Calibri" w:hAnsi="Calibri" w:cs="Calibri"/>
          <w:color w:val="000000" w:themeColor="text1"/>
          <w:lang w:val="sr-Cyrl-RS"/>
        </w:rPr>
        <w:t xml:space="preserve"> два студијска програма</w:t>
      </w:r>
      <w:r w:rsidR="00B7399F">
        <w:rPr>
          <w:rStyle w:val="A5"/>
          <w:rFonts w:ascii="Calibri" w:hAnsi="Calibri" w:cs="Calibri"/>
          <w:color w:val="000000" w:themeColor="text1"/>
          <w:lang w:val="sr-Cyrl-RS"/>
        </w:rPr>
        <w:t xml:space="preserve"> из основног захтјева</w:t>
      </w:r>
      <w:r w:rsidR="00B7399F" w:rsidRPr="00BB220B">
        <w:rPr>
          <w:rStyle w:val="A5"/>
          <w:rFonts w:ascii="Calibri" w:hAnsi="Calibri" w:cs="Calibri"/>
          <w:color w:val="000000" w:themeColor="text1"/>
          <w:lang w:val="sr-Cyrl-RS"/>
        </w:rPr>
        <w:t xml:space="preserve">, те да се </w:t>
      </w:r>
      <w:r w:rsidR="00B7399F">
        <w:rPr>
          <w:rStyle w:val="A5"/>
          <w:rFonts w:ascii="Calibri" w:hAnsi="Calibri" w:cs="Calibri"/>
          <w:color w:val="000000" w:themeColor="text1"/>
          <w:lang w:val="sr-Cyrl-RS"/>
        </w:rPr>
        <w:t>поступак акредитације преосталих студијских програма споји са поступком ва</w:t>
      </w:r>
      <w:r w:rsidR="00B7399F" w:rsidRPr="00BB220B">
        <w:rPr>
          <w:rStyle w:val="A5"/>
          <w:rFonts w:ascii="Calibri" w:hAnsi="Calibri" w:cs="Calibri"/>
          <w:color w:val="000000" w:themeColor="text1"/>
          <w:lang w:val="sr-Cyrl-RS"/>
        </w:rPr>
        <w:t>њског вредновања установе. </w:t>
      </w:r>
      <w:r w:rsidR="00F84788">
        <w:rPr>
          <w:rStyle w:val="A5"/>
          <w:rFonts w:ascii="Calibri" w:hAnsi="Calibri" w:cs="Calibri"/>
          <w:color w:val="000000" w:themeColor="text1"/>
          <w:lang w:val="sr-Cyrl-RS"/>
        </w:rPr>
        <w:t xml:space="preserve">У децембру 2024. године усаглашен је </w:t>
      </w:r>
      <w:r w:rsidR="00F84788" w:rsidRPr="00404F46">
        <w:rPr>
          <w:rStyle w:val="A5"/>
          <w:rFonts w:ascii="Calibri" w:hAnsi="Calibri" w:cs="Calibri"/>
          <w:color w:val="000000" w:themeColor="text1"/>
          <w:lang w:val="sr-Cyrl-RS"/>
        </w:rPr>
        <w:t>приједлог Комисије стручњака за оцјењивање и ревизију квалитета установе и студијских програма</w:t>
      </w:r>
      <w:r w:rsidR="00F84788" w:rsidRPr="00404F46">
        <w:rPr>
          <w:rStyle w:val="A5"/>
          <w:rFonts w:ascii="Calibri" w:hAnsi="Calibri" w:cs="Calibri"/>
          <w:color w:val="auto"/>
          <w:lang w:val="sr-Cyrl-BA"/>
        </w:rPr>
        <w:t>.</w:t>
      </w:r>
      <w:r w:rsidR="00694784" w:rsidRPr="00404F46">
        <w:rPr>
          <w:rStyle w:val="A5"/>
          <w:rFonts w:ascii="Calibri" w:hAnsi="Calibri" w:cs="Calibri"/>
          <w:color w:val="auto"/>
          <w:lang w:val="sr-Cyrl-BA"/>
        </w:rPr>
        <w:t xml:space="preserve"> Против Независног универзитета Бања Лука и одговорних лица на Универзитету</w:t>
      </w:r>
      <w:r w:rsidR="006D6372" w:rsidRPr="00404F46">
        <w:rPr>
          <w:rStyle w:val="A5"/>
          <w:rFonts w:ascii="Calibri" w:hAnsi="Calibri" w:cs="Calibri"/>
          <w:color w:val="auto"/>
          <w:lang w:val="sr-Cyrl-BA"/>
        </w:rPr>
        <w:t>, те других правних и физичких лица</w:t>
      </w:r>
      <w:r w:rsidR="00694784" w:rsidRPr="00404F46">
        <w:rPr>
          <w:rStyle w:val="A5"/>
          <w:rFonts w:ascii="Calibri" w:hAnsi="Calibri" w:cs="Calibri"/>
          <w:color w:val="auto"/>
          <w:lang w:val="sr-Cyrl-BA"/>
        </w:rPr>
        <w:t>, подигнута је</w:t>
      </w:r>
      <w:r w:rsidR="006D6372" w:rsidRPr="00404F46">
        <w:rPr>
          <w:rStyle w:val="A5"/>
          <w:rFonts w:ascii="Calibri" w:hAnsi="Calibri" w:cs="Calibri"/>
          <w:color w:val="auto"/>
          <w:lang w:val="sr-Cyrl-BA"/>
        </w:rPr>
        <w:t xml:space="preserve"> </w:t>
      </w:r>
      <w:r w:rsidR="00694784" w:rsidRPr="00404F46">
        <w:rPr>
          <w:rStyle w:val="A5"/>
          <w:rFonts w:ascii="Calibri" w:hAnsi="Calibri" w:cs="Calibri"/>
          <w:color w:val="auto"/>
          <w:lang w:val="sr-Cyrl-BA"/>
        </w:rPr>
        <w:t xml:space="preserve">оптужница Тужилаштва Босне и Херцеговине број </w:t>
      </w:r>
      <w:r w:rsidR="008137BE" w:rsidRPr="00404F46">
        <w:rPr>
          <w:rStyle w:val="A5"/>
          <w:rFonts w:ascii="Calibri" w:hAnsi="Calibri" w:cs="Calibri"/>
          <w:color w:val="000000" w:themeColor="text1"/>
          <w:lang w:val="sr-Cyrl-RS"/>
        </w:rPr>
        <w:t>T20 0 KTOV 0019583 21</w:t>
      </w:r>
      <w:r w:rsidR="00694784" w:rsidRPr="00404F46">
        <w:rPr>
          <w:rStyle w:val="A5"/>
          <w:rFonts w:ascii="Calibri" w:hAnsi="Calibri" w:cs="Calibri"/>
          <w:color w:val="000000" w:themeColor="text1"/>
          <w:lang w:val="sr-Cyrl-RS"/>
        </w:rPr>
        <w:t xml:space="preserve"> од 3.7.2024. године </w:t>
      </w:r>
      <w:r w:rsidR="005C219C" w:rsidRPr="00404F46">
        <w:rPr>
          <w:rStyle w:val="A5"/>
          <w:rFonts w:ascii="Calibri" w:hAnsi="Calibri" w:cs="Calibri"/>
          <w:color w:val="000000" w:themeColor="text1"/>
          <w:lang w:val="sr-Cyrl-RS"/>
        </w:rPr>
        <w:t>што су се удр</w:t>
      </w:r>
      <w:r w:rsidR="00404F46" w:rsidRPr="00404F46">
        <w:rPr>
          <w:rStyle w:val="A5"/>
          <w:rFonts w:ascii="Calibri" w:hAnsi="Calibri" w:cs="Calibri"/>
          <w:color w:val="000000" w:themeColor="text1"/>
          <w:lang w:val="sr-Cyrl-RS"/>
        </w:rPr>
        <w:t>у</w:t>
      </w:r>
      <w:r w:rsidR="005C219C" w:rsidRPr="00404F46">
        <w:rPr>
          <w:rStyle w:val="A5"/>
          <w:rFonts w:ascii="Calibri" w:hAnsi="Calibri" w:cs="Calibri"/>
          <w:color w:val="000000" w:themeColor="text1"/>
          <w:lang w:val="sr-Cyrl-RS"/>
        </w:rPr>
        <w:t>жили у извршењу кривичних дјела Недопуштена трговина из члана 212. став 1. КЗ БиХ,  кривичних дјела Злоупотреба службеног положаја или овлашћења из члана 315. КЗ РС, те кривичних дјела Фалсификовања или уништавања службене исправе из члана 349. КЗ РС.</w:t>
      </w:r>
    </w:p>
    <w:p w:rsidR="00404F46" w:rsidRPr="008137BE" w:rsidRDefault="00B23B31" w:rsidP="00404F46">
      <w:pPr>
        <w:spacing w:after="240" w:line="276" w:lineRule="auto"/>
        <w:jc w:val="both"/>
        <w:rPr>
          <w:rStyle w:val="A5"/>
          <w:rFonts w:ascii="Calibri" w:hAnsi="Calibri" w:cs="Calibri"/>
          <w:color w:val="000000" w:themeColor="text1"/>
          <w:lang w:val="sr-Cyrl-RS"/>
        </w:rPr>
      </w:pPr>
      <w:r w:rsidRPr="008C004A">
        <w:rPr>
          <w:rStyle w:val="A5"/>
          <w:rFonts w:ascii="Calibri" w:hAnsi="Calibri" w:cs="Calibri"/>
          <w:color w:val="000000" w:themeColor="text1"/>
          <w:lang w:val="sr-Cyrl-RS"/>
        </w:rPr>
        <w:t xml:space="preserve">У поступку акредитације високошколске установе и студијских програма </w:t>
      </w:r>
      <w:r w:rsidRPr="008C004A">
        <w:rPr>
          <w:rStyle w:val="A5"/>
          <w:rFonts w:ascii="Calibri" w:hAnsi="Calibri" w:cs="Calibri"/>
          <w:b/>
          <w:color w:val="000000" w:themeColor="text1"/>
          <w:lang w:val="sr-Cyrl-RS"/>
        </w:rPr>
        <w:t>Универзитета за пословни инжењеринг и менаџмент Бања Лука</w:t>
      </w:r>
      <w:r w:rsidRPr="008C004A">
        <w:rPr>
          <w:rStyle w:val="A5"/>
          <w:rFonts w:ascii="Calibri" w:hAnsi="Calibri" w:cs="Calibri"/>
          <w:color w:val="000000" w:themeColor="text1"/>
          <w:lang w:val="sr-Cyrl-RS"/>
        </w:rPr>
        <w:t xml:space="preserve"> </w:t>
      </w:r>
      <w:r>
        <w:rPr>
          <w:rStyle w:val="A5"/>
          <w:rFonts w:ascii="Calibri" w:hAnsi="Calibri" w:cs="Calibri"/>
          <w:color w:val="000000" w:themeColor="text1"/>
          <w:lang w:val="sr-Cyrl-RS"/>
        </w:rPr>
        <w:t>у марту</w:t>
      </w:r>
      <w:r w:rsidRPr="008C004A">
        <w:rPr>
          <w:rStyle w:val="A5"/>
          <w:rFonts w:ascii="Calibri" w:hAnsi="Calibri" w:cs="Calibri"/>
          <w:color w:val="000000" w:themeColor="text1"/>
          <w:lang w:val="sr-Cyrl-RS"/>
        </w:rPr>
        <w:t xml:space="preserve"> 2024. године организована је посјета Комисије стручњака високошколској установи. </w:t>
      </w:r>
      <w:r>
        <w:rPr>
          <w:rStyle w:val="A5"/>
          <w:rFonts w:ascii="Calibri" w:hAnsi="Calibri" w:cs="Calibri"/>
          <w:color w:val="000000" w:themeColor="text1"/>
          <w:lang w:val="sr-Cyrl-RS"/>
        </w:rPr>
        <w:t>Комисија стручњака је сачинила к</w:t>
      </w:r>
      <w:r w:rsidRPr="008C004A">
        <w:rPr>
          <w:rStyle w:val="A5"/>
          <w:rFonts w:ascii="Calibri" w:hAnsi="Calibri" w:cs="Calibri"/>
          <w:color w:val="000000" w:themeColor="text1"/>
          <w:lang w:val="sr-Cyrl-RS"/>
        </w:rPr>
        <w:t>оначн</w:t>
      </w:r>
      <w:r>
        <w:rPr>
          <w:rStyle w:val="A5"/>
          <w:rFonts w:ascii="Calibri" w:hAnsi="Calibri" w:cs="Calibri"/>
          <w:color w:val="000000" w:themeColor="text1"/>
          <w:lang w:val="sr-Cyrl-RS"/>
        </w:rPr>
        <w:t>е</w:t>
      </w:r>
      <w:r w:rsidRPr="008C004A">
        <w:rPr>
          <w:rStyle w:val="A5"/>
          <w:rFonts w:ascii="Calibri" w:hAnsi="Calibri" w:cs="Calibri"/>
          <w:color w:val="000000" w:themeColor="text1"/>
          <w:lang w:val="sr-Cyrl-RS"/>
        </w:rPr>
        <w:t xml:space="preserve"> извјештај</w:t>
      </w:r>
      <w:r>
        <w:rPr>
          <w:rStyle w:val="A5"/>
          <w:rFonts w:ascii="Calibri" w:hAnsi="Calibri" w:cs="Calibri"/>
          <w:color w:val="000000" w:themeColor="text1"/>
          <w:lang w:val="sr-Cyrl-RS"/>
        </w:rPr>
        <w:t>е</w:t>
      </w:r>
      <w:r w:rsidRPr="008C004A">
        <w:rPr>
          <w:rStyle w:val="A5"/>
          <w:rFonts w:ascii="Calibri" w:hAnsi="Calibri" w:cs="Calibri"/>
          <w:color w:val="000000" w:themeColor="text1"/>
          <w:lang w:val="sr-Cyrl-RS"/>
        </w:rPr>
        <w:t xml:space="preserve"> са препоруком да се за високошколску установу и за седам пријављених студијских програма изда писмо очекивања, те за један студијски п</w:t>
      </w:r>
      <w:r>
        <w:rPr>
          <w:rStyle w:val="A5"/>
          <w:rFonts w:ascii="Calibri" w:hAnsi="Calibri" w:cs="Calibri"/>
          <w:color w:val="000000" w:themeColor="text1"/>
          <w:lang w:val="sr-Cyrl-RS"/>
        </w:rPr>
        <w:t>рограм рјешење о акредитацији. Извјештаји су упућени</w:t>
      </w:r>
      <w:r>
        <w:rPr>
          <w:rStyle w:val="A5"/>
          <w:rFonts w:ascii="Calibri" w:hAnsi="Calibri" w:cs="Calibri"/>
          <w:color w:val="000000" w:themeColor="text1"/>
          <w:lang w:val="sr-Latn-RS"/>
        </w:rPr>
        <w:t xml:space="preserve"> </w:t>
      </w:r>
      <w:r>
        <w:rPr>
          <w:rStyle w:val="A5"/>
          <w:rFonts w:ascii="Calibri" w:hAnsi="Calibri" w:cs="Calibri"/>
          <w:color w:val="000000" w:themeColor="text1"/>
          <w:lang w:val="sr-Cyrl-RS"/>
        </w:rPr>
        <w:t xml:space="preserve">на разматрање </w:t>
      </w:r>
      <w:r w:rsidRPr="008C004A">
        <w:rPr>
          <w:rStyle w:val="A5"/>
          <w:rFonts w:ascii="Calibri" w:hAnsi="Calibri" w:cs="Calibri"/>
          <w:color w:val="000000" w:themeColor="text1"/>
          <w:lang w:val="sr-Cyrl-RS"/>
        </w:rPr>
        <w:t>Акредитацијско</w:t>
      </w:r>
      <w:r>
        <w:rPr>
          <w:rStyle w:val="A5"/>
          <w:rFonts w:ascii="Calibri" w:hAnsi="Calibri" w:cs="Calibri"/>
          <w:color w:val="000000" w:themeColor="text1"/>
          <w:lang w:val="sr-Cyrl-RS"/>
        </w:rPr>
        <w:t>м</w:t>
      </w:r>
      <w:r w:rsidRPr="008C004A">
        <w:rPr>
          <w:rStyle w:val="A5"/>
          <w:rFonts w:ascii="Calibri" w:hAnsi="Calibri" w:cs="Calibri"/>
          <w:color w:val="000000" w:themeColor="text1"/>
          <w:lang w:val="sr-Cyrl-RS"/>
        </w:rPr>
        <w:t xml:space="preserve"> вијећ</w:t>
      </w:r>
      <w:r>
        <w:rPr>
          <w:rStyle w:val="A5"/>
          <w:rFonts w:ascii="Calibri" w:hAnsi="Calibri" w:cs="Calibri"/>
          <w:color w:val="000000" w:themeColor="text1"/>
          <w:lang w:val="sr-Cyrl-RS"/>
        </w:rPr>
        <w:t xml:space="preserve">у које је  у новембру 2024. године </w:t>
      </w:r>
      <w:r w:rsidRPr="008C004A">
        <w:rPr>
          <w:rStyle w:val="A5"/>
          <w:rFonts w:ascii="Calibri" w:hAnsi="Calibri" w:cs="Calibri"/>
          <w:color w:val="000000" w:themeColor="text1"/>
          <w:lang w:val="sr-Cyrl-RS"/>
        </w:rPr>
        <w:t xml:space="preserve">донијело мишљење о усклађености поступка вањског вредновања </w:t>
      </w:r>
      <w:r>
        <w:rPr>
          <w:rStyle w:val="A5"/>
          <w:rFonts w:ascii="Calibri" w:hAnsi="Calibri" w:cs="Calibri"/>
          <w:color w:val="000000" w:themeColor="text1"/>
          <w:lang w:val="sr-Cyrl-RS"/>
        </w:rPr>
        <w:t xml:space="preserve">са </w:t>
      </w:r>
      <w:r w:rsidRPr="007C7563">
        <w:rPr>
          <w:rStyle w:val="A5"/>
          <w:rFonts w:ascii="Calibri" w:hAnsi="Calibri" w:cs="Calibri"/>
          <w:color w:val="000000" w:themeColor="text1"/>
          <w:lang w:val="sr-Cyrl-RS"/>
        </w:rPr>
        <w:t>Правилник</w:t>
      </w:r>
      <w:r>
        <w:rPr>
          <w:rStyle w:val="A5"/>
          <w:rFonts w:ascii="Calibri" w:hAnsi="Calibri" w:cs="Calibri"/>
          <w:color w:val="000000" w:themeColor="text1"/>
          <w:lang w:val="sr-Cyrl-RS"/>
        </w:rPr>
        <w:t>ом</w:t>
      </w:r>
      <w:r w:rsidRPr="007C7563">
        <w:rPr>
          <w:rStyle w:val="A5"/>
          <w:rFonts w:ascii="Calibri" w:hAnsi="Calibri" w:cs="Calibri"/>
          <w:color w:val="000000" w:themeColor="text1"/>
          <w:lang w:val="sr-Cyrl-RS"/>
        </w:rPr>
        <w:t xml:space="preserve"> о акредитацији високошколских установа и студијских програма, </w:t>
      </w:r>
      <w:r>
        <w:rPr>
          <w:rStyle w:val="A5"/>
          <w:rFonts w:ascii="Calibri" w:hAnsi="Calibri" w:cs="Calibri"/>
          <w:color w:val="000000" w:themeColor="text1"/>
          <w:lang w:val="sr-Cyrl-RS"/>
        </w:rPr>
        <w:t>К</w:t>
      </w:r>
      <w:r w:rsidRPr="007C7563">
        <w:rPr>
          <w:rStyle w:val="A5"/>
          <w:rFonts w:ascii="Calibri" w:hAnsi="Calibri" w:cs="Calibri"/>
          <w:color w:val="000000" w:themeColor="text1"/>
          <w:lang w:val="sr-Cyrl-RS"/>
        </w:rPr>
        <w:t>ритеријум</w:t>
      </w:r>
      <w:r>
        <w:rPr>
          <w:rStyle w:val="A5"/>
          <w:rFonts w:ascii="Calibri" w:hAnsi="Calibri" w:cs="Calibri"/>
          <w:color w:val="000000" w:themeColor="text1"/>
          <w:lang w:val="sr-Cyrl-RS"/>
        </w:rPr>
        <w:t xml:space="preserve">има </w:t>
      </w:r>
      <w:r w:rsidRPr="007C7563">
        <w:rPr>
          <w:rStyle w:val="A5"/>
          <w:rFonts w:ascii="Calibri" w:hAnsi="Calibri" w:cs="Calibri"/>
          <w:color w:val="000000" w:themeColor="text1"/>
          <w:lang w:val="sr-Cyrl-RS"/>
        </w:rPr>
        <w:t xml:space="preserve">за акредитацију високошколских установа, </w:t>
      </w:r>
      <w:r>
        <w:rPr>
          <w:rStyle w:val="A5"/>
          <w:rFonts w:ascii="Calibri" w:hAnsi="Calibri" w:cs="Calibri"/>
          <w:color w:val="000000" w:themeColor="text1"/>
          <w:lang w:val="sr-Cyrl-RS"/>
        </w:rPr>
        <w:t>К</w:t>
      </w:r>
      <w:r w:rsidRPr="007C7563">
        <w:rPr>
          <w:rStyle w:val="A5"/>
          <w:rFonts w:ascii="Calibri" w:hAnsi="Calibri" w:cs="Calibri"/>
          <w:color w:val="000000" w:themeColor="text1"/>
          <w:lang w:val="sr-Cyrl-RS"/>
        </w:rPr>
        <w:t>ритеријум</w:t>
      </w:r>
      <w:r>
        <w:rPr>
          <w:rStyle w:val="A5"/>
          <w:rFonts w:ascii="Calibri" w:hAnsi="Calibri" w:cs="Calibri"/>
          <w:color w:val="000000" w:themeColor="text1"/>
          <w:lang w:val="sr-Cyrl-RS"/>
        </w:rPr>
        <w:t>има</w:t>
      </w:r>
      <w:r w:rsidRPr="007C7563">
        <w:rPr>
          <w:rStyle w:val="A5"/>
          <w:rFonts w:ascii="Calibri" w:hAnsi="Calibri" w:cs="Calibri"/>
          <w:color w:val="000000" w:themeColor="text1"/>
          <w:lang w:val="sr-Cyrl-RS"/>
        </w:rPr>
        <w:t xml:space="preserve"> за акредитацију студијских програма првог и другог циклуса у БиХ и Стандардима и смјерницама за обезбјеђење квалитета у Европском пр</w:t>
      </w:r>
      <w:r>
        <w:rPr>
          <w:rStyle w:val="A5"/>
          <w:rFonts w:ascii="Calibri" w:hAnsi="Calibri" w:cs="Calibri"/>
          <w:color w:val="000000" w:themeColor="text1"/>
          <w:lang w:val="sr-Cyrl-RS"/>
        </w:rPr>
        <w:t>остору високог образовања.</w:t>
      </w:r>
      <w:r w:rsidR="00404F46" w:rsidRPr="00404F46">
        <w:rPr>
          <w:rStyle w:val="A5"/>
          <w:rFonts w:ascii="Calibri" w:hAnsi="Calibri" w:cs="Calibri"/>
          <w:color w:val="auto"/>
          <w:lang w:val="sr-Cyrl-BA"/>
        </w:rPr>
        <w:t xml:space="preserve"> Против </w:t>
      </w:r>
      <w:r w:rsidR="00404F46" w:rsidRPr="00404F46">
        <w:rPr>
          <w:rStyle w:val="A5"/>
          <w:rFonts w:ascii="Calibri" w:hAnsi="Calibri" w:cs="Calibri"/>
          <w:color w:val="000000" w:themeColor="text1"/>
          <w:lang w:val="sr-Cyrl-RS"/>
        </w:rPr>
        <w:t>Универзитета за пословни инжењеринг и менаџмент Бања Лука</w:t>
      </w:r>
      <w:r w:rsidR="00404F46" w:rsidRPr="008C004A">
        <w:rPr>
          <w:rStyle w:val="A5"/>
          <w:rFonts w:ascii="Calibri" w:hAnsi="Calibri" w:cs="Calibri"/>
          <w:color w:val="000000" w:themeColor="text1"/>
          <w:lang w:val="sr-Cyrl-RS"/>
        </w:rPr>
        <w:t xml:space="preserve"> </w:t>
      </w:r>
      <w:r w:rsidR="00404F46" w:rsidRPr="00404F46">
        <w:rPr>
          <w:rStyle w:val="A5"/>
          <w:rFonts w:ascii="Calibri" w:hAnsi="Calibri" w:cs="Calibri"/>
          <w:color w:val="auto"/>
          <w:lang w:val="sr-Cyrl-BA"/>
        </w:rPr>
        <w:t xml:space="preserve">и одговорних лица на Универзитету, те других правних и физичких лица, подигнута је оптужница Тужилаштва Босне и Херцеговине број </w:t>
      </w:r>
      <w:r w:rsidR="00404F46" w:rsidRPr="00404F46">
        <w:rPr>
          <w:rStyle w:val="A5"/>
          <w:rFonts w:ascii="Calibri" w:hAnsi="Calibri" w:cs="Calibri"/>
          <w:color w:val="000000" w:themeColor="text1"/>
          <w:lang w:val="sr-Cyrl-RS"/>
        </w:rPr>
        <w:t>T20 0 KTOV 0019583 21 од 3.7.2024. године што су се удружили у извршењу кривичних дјела Недопуштена трговина из члана 212. став 1. КЗ БиХ,  кривичних дјела Злоупотреба службеног положаја или овлашћења из члана 315. КЗ РС, те кривичних дјела Фалсификовања или уништавања службене исправе из члана 349. КЗ РС</w:t>
      </w:r>
      <w:r w:rsidR="00404F46">
        <w:rPr>
          <w:rStyle w:val="A5"/>
          <w:rFonts w:ascii="Calibri" w:hAnsi="Calibri" w:cs="Calibri"/>
          <w:color w:val="000000" w:themeColor="text1"/>
          <w:lang w:val="sr-Cyrl-RS"/>
        </w:rPr>
        <w:t>.</w:t>
      </w:r>
    </w:p>
    <w:p w:rsidR="00B23B31" w:rsidRPr="00404F46" w:rsidRDefault="00404F46" w:rsidP="00B23B31">
      <w:pPr>
        <w:spacing w:after="240" w:line="276" w:lineRule="auto"/>
        <w:jc w:val="both"/>
        <w:rPr>
          <w:rFonts w:ascii="Calibri" w:hAnsi="Calibri" w:cs="Calibri"/>
          <w:color w:val="000000" w:themeColor="text1"/>
          <w:sz w:val="22"/>
          <w:szCs w:val="22"/>
          <w:lang w:val="sr-Cyrl-RS"/>
        </w:rPr>
      </w:pPr>
      <w:r>
        <w:rPr>
          <w:rStyle w:val="A5"/>
          <w:rFonts w:ascii="Calibri" w:hAnsi="Calibri" w:cs="Calibri"/>
          <w:color w:val="000000" w:themeColor="text1"/>
          <w:lang w:val="sr-Cyrl-RS"/>
        </w:rPr>
        <w:t xml:space="preserve"> </w:t>
      </w:r>
      <w:r w:rsidR="00B23B31" w:rsidRPr="00EA5B45">
        <w:rPr>
          <w:rStyle w:val="A5"/>
          <w:rFonts w:ascii="Calibri" w:hAnsi="Calibri" w:cs="Calibri"/>
          <w:color w:val="000000" w:themeColor="text1"/>
          <w:lang w:val="sr-Cyrl-RS"/>
        </w:rPr>
        <w:t xml:space="preserve">У поступку вањског вредновања студијских програма који су добили писмо очекивања у поступку акредитације </w:t>
      </w:r>
      <w:r w:rsidR="00B23B31" w:rsidRPr="00EA5B45">
        <w:rPr>
          <w:rStyle w:val="A5"/>
          <w:rFonts w:ascii="Calibri" w:hAnsi="Calibri" w:cs="Calibri"/>
          <w:b/>
          <w:color w:val="000000" w:themeColor="text1"/>
          <w:lang w:val="sr-Cyrl-RS"/>
        </w:rPr>
        <w:t>Паневропског универзитета Апеирон Бања Лука</w:t>
      </w:r>
      <w:r w:rsidR="00B23B31" w:rsidRPr="00EA5B45">
        <w:rPr>
          <w:rStyle w:val="A5"/>
          <w:rFonts w:ascii="Calibri" w:hAnsi="Calibri" w:cs="Calibri"/>
          <w:color w:val="000000" w:themeColor="text1"/>
          <w:lang w:val="sr-Cyrl-RS"/>
        </w:rPr>
        <w:t>, у мају 2024. године достављен је извјештај о реализацији плана мјера за студијске програме Опште-правни (први циклус) и Опште право (други циклус). У децембру 2024. године достављена је и допуна извјештаја, након чега је организована надзорна посјета високошколској установи.</w:t>
      </w:r>
      <w:r w:rsidR="00B23B31" w:rsidRPr="00EA5B45">
        <w:rPr>
          <w:sz w:val="22"/>
          <w:szCs w:val="22"/>
          <w:lang w:val="sr-Cyrl-BA"/>
        </w:rPr>
        <w:t xml:space="preserve"> </w:t>
      </w:r>
      <w:r w:rsidR="00B23B31">
        <w:rPr>
          <w:sz w:val="22"/>
          <w:szCs w:val="22"/>
          <w:lang w:val="sr-Cyrl-BA"/>
        </w:rPr>
        <w:t>На захтјев установе, у</w:t>
      </w:r>
      <w:r w:rsidR="00B23B31" w:rsidRPr="00EA5B45">
        <w:rPr>
          <w:sz w:val="22"/>
          <w:szCs w:val="22"/>
          <w:lang w:val="sr-Cyrl-BA"/>
        </w:rPr>
        <w:t xml:space="preserve"> септембру 2024. године донесен је закључак о обустави поступка акредитације студијских програма Руски језик (први циклус  и  други циклус)</w:t>
      </w:r>
      <w:r w:rsidR="00B23B31">
        <w:rPr>
          <w:sz w:val="22"/>
          <w:szCs w:val="22"/>
          <w:lang w:val="sr-Cyrl-BA"/>
        </w:rPr>
        <w:t xml:space="preserve">, уз обавезу установе да прије почетка поновног извођења наведених студијских програма исте пријави за поступак вањског вредновања у сврху акредитације. </w:t>
      </w:r>
      <w:r w:rsidR="00B23B31">
        <w:rPr>
          <w:sz w:val="22"/>
          <w:szCs w:val="22"/>
          <w:lang w:val="sr-Latn-RS"/>
        </w:rPr>
        <w:t xml:space="preserve"> </w:t>
      </w:r>
    </w:p>
    <w:p w:rsidR="00B23B31" w:rsidRDefault="00B23B31" w:rsidP="00B23B31">
      <w:pPr>
        <w:spacing w:after="240" w:line="276" w:lineRule="auto"/>
        <w:jc w:val="both"/>
        <w:rPr>
          <w:rStyle w:val="A5"/>
          <w:rFonts w:ascii="Calibri" w:hAnsi="Calibri" w:cs="Calibri"/>
          <w:color w:val="auto"/>
          <w:lang w:val="sr-Cyrl-BA"/>
        </w:rPr>
      </w:pPr>
      <w:r>
        <w:rPr>
          <w:rStyle w:val="A5"/>
          <w:rFonts w:ascii="Calibri" w:hAnsi="Calibri" w:cs="Calibri"/>
          <w:color w:val="000000" w:themeColor="text1"/>
          <w:lang w:val="sr-Cyrl-RS"/>
        </w:rPr>
        <w:t xml:space="preserve">Након провјере легитимности за рад </w:t>
      </w:r>
      <w:r w:rsidRPr="00E1254F">
        <w:rPr>
          <w:rStyle w:val="A5"/>
          <w:rFonts w:ascii="Calibri" w:hAnsi="Calibri" w:cs="Calibri"/>
          <w:b/>
          <w:color w:val="auto"/>
          <w:lang w:val="sr-Cyrl-RS"/>
        </w:rPr>
        <w:t xml:space="preserve">Високе школе </w:t>
      </w:r>
      <w:r w:rsidRPr="00E1254F">
        <w:rPr>
          <w:rStyle w:val="A5"/>
          <w:rFonts w:ascii="Calibri" w:hAnsi="Calibri" w:cs="Calibri"/>
          <w:b/>
          <w:color w:val="auto"/>
          <w:lang w:val="sr-Latn-BA"/>
        </w:rPr>
        <w:t>Banja Luka College</w:t>
      </w:r>
      <w:r w:rsidRPr="00E1254F">
        <w:rPr>
          <w:rStyle w:val="A5"/>
          <w:rFonts w:ascii="Calibri" w:hAnsi="Calibri" w:cs="Calibri"/>
          <w:b/>
          <w:color w:val="auto"/>
          <w:lang w:val="sr-Cyrl-BA"/>
        </w:rPr>
        <w:t xml:space="preserve">, </w:t>
      </w:r>
      <w:r w:rsidRPr="00E1254F">
        <w:rPr>
          <w:rStyle w:val="A5"/>
          <w:rFonts w:ascii="Calibri" w:hAnsi="Calibri" w:cs="Calibri"/>
          <w:b/>
          <w:color w:val="auto"/>
          <w:lang w:val="sr-Latn-BA"/>
        </w:rPr>
        <w:t>Banja Luka</w:t>
      </w:r>
      <w:r>
        <w:rPr>
          <w:rStyle w:val="A5"/>
          <w:rFonts w:ascii="Calibri" w:hAnsi="Calibri" w:cs="Calibri"/>
          <w:b/>
          <w:color w:val="auto"/>
          <w:lang w:val="sr-Latn-BA"/>
        </w:rPr>
        <w:t>,</w:t>
      </w:r>
      <w:r>
        <w:rPr>
          <w:rStyle w:val="A5"/>
          <w:rFonts w:ascii="Calibri" w:hAnsi="Calibri" w:cs="Calibri"/>
          <w:color w:val="auto"/>
          <w:lang w:val="sr-Cyrl-RS"/>
        </w:rPr>
        <w:t xml:space="preserve"> </w:t>
      </w:r>
      <w:r>
        <w:rPr>
          <w:rStyle w:val="A5"/>
          <w:rFonts w:ascii="Calibri" w:hAnsi="Calibri" w:cs="Calibri"/>
          <w:color w:val="auto"/>
          <w:lang w:val="sr-Cyrl-BA"/>
        </w:rPr>
        <w:t xml:space="preserve">у јуну 2024. године  именована је Комисија стручњака </w:t>
      </w:r>
      <w:r w:rsidRPr="007C7563">
        <w:rPr>
          <w:rStyle w:val="A5"/>
          <w:rFonts w:ascii="Calibri" w:hAnsi="Calibri" w:cs="Calibri"/>
          <w:color w:val="000000" w:themeColor="text1"/>
          <w:lang w:val="sr-Cyrl-RS"/>
        </w:rPr>
        <w:t xml:space="preserve">за оцјењивање и ревизију квалитета </w:t>
      </w:r>
      <w:r>
        <w:rPr>
          <w:rStyle w:val="A5"/>
          <w:rFonts w:ascii="Calibri" w:hAnsi="Calibri" w:cs="Calibri"/>
          <w:color w:val="000000" w:themeColor="text1"/>
          <w:lang w:val="sr-Cyrl-RS"/>
        </w:rPr>
        <w:t>установе и студијских програма</w:t>
      </w:r>
      <w:r>
        <w:rPr>
          <w:rStyle w:val="A5"/>
          <w:rFonts w:ascii="Calibri" w:hAnsi="Calibri" w:cs="Calibri"/>
          <w:color w:val="auto"/>
          <w:lang w:val="sr-Cyrl-BA"/>
        </w:rPr>
        <w:t xml:space="preserve">. Након потписивања уговора </w:t>
      </w:r>
      <w:r w:rsidRPr="00B07C14">
        <w:rPr>
          <w:rStyle w:val="A5"/>
          <w:rFonts w:ascii="Calibri" w:hAnsi="Calibri" w:cs="Calibri"/>
          <w:color w:val="000000" w:themeColor="text1"/>
          <w:lang w:val="sr-Cyrl-RS"/>
        </w:rPr>
        <w:t>за услуге акредитације установе и студијских програма</w:t>
      </w:r>
      <w:r>
        <w:rPr>
          <w:rStyle w:val="A5"/>
          <w:rFonts w:ascii="Calibri" w:hAnsi="Calibri" w:cs="Calibri"/>
          <w:color w:val="auto"/>
          <w:lang w:val="sr-Cyrl-BA"/>
        </w:rPr>
        <w:t xml:space="preserve"> и анализе достављене документације, у новембру 2024. године реализована је посјета Високој школи.  </w:t>
      </w:r>
    </w:p>
    <w:p w:rsidR="00B23B31" w:rsidRDefault="00B23B31" w:rsidP="00B23B31">
      <w:pPr>
        <w:spacing w:after="240" w:line="276" w:lineRule="auto"/>
        <w:jc w:val="both"/>
        <w:rPr>
          <w:rStyle w:val="A5"/>
          <w:rFonts w:ascii="Calibri" w:hAnsi="Calibri" w:cs="Calibri"/>
          <w:color w:val="000000" w:themeColor="text1"/>
          <w:lang w:val="sr-Cyrl-RS"/>
        </w:rPr>
      </w:pPr>
      <w:r w:rsidRPr="00BB7A6C">
        <w:rPr>
          <w:rStyle w:val="A5"/>
          <w:rFonts w:ascii="Calibri" w:hAnsi="Calibri" w:cs="Calibri"/>
          <w:color w:val="000000" w:themeColor="text1"/>
          <w:lang w:val="sr-Cyrl-RS"/>
        </w:rPr>
        <w:t xml:space="preserve">У поступку акредитације </w:t>
      </w:r>
      <w:r w:rsidRPr="00E8242F">
        <w:rPr>
          <w:rStyle w:val="A5"/>
          <w:rFonts w:ascii="Calibri" w:hAnsi="Calibri" w:cs="Calibri"/>
          <w:b/>
          <w:color w:val="000000" w:themeColor="text1"/>
          <w:lang w:val="sr-Cyrl-RS"/>
        </w:rPr>
        <w:t>високошколске установе и студијских програма Високе школе за туризам и хотелијерство Требиње</w:t>
      </w:r>
      <w:r>
        <w:rPr>
          <w:rStyle w:val="A5"/>
          <w:rFonts w:ascii="Calibri" w:hAnsi="Calibri" w:cs="Calibri"/>
          <w:b/>
          <w:color w:val="000000" w:themeColor="text1"/>
          <w:lang w:val="sr-Cyrl-RS"/>
        </w:rPr>
        <w:t>,</w:t>
      </w:r>
      <w:r w:rsidRPr="00BB7A6C">
        <w:rPr>
          <w:rStyle w:val="A5"/>
          <w:rFonts w:ascii="Calibri" w:hAnsi="Calibri" w:cs="Calibri"/>
          <w:color w:val="000000" w:themeColor="text1"/>
          <w:lang w:val="sr-Cyrl-RS"/>
        </w:rPr>
        <w:t xml:space="preserve"> Комисија </w:t>
      </w:r>
      <w:r>
        <w:rPr>
          <w:rStyle w:val="A5"/>
          <w:rFonts w:ascii="Calibri" w:hAnsi="Calibri" w:cs="Calibri"/>
          <w:color w:val="000000" w:themeColor="text1"/>
          <w:lang w:val="sr-Cyrl-RS"/>
        </w:rPr>
        <w:t xml:space="preserve">стручњака је у фебруару 2024. године Агенцији доставила </w:t>
      </w:r>
      <w:r w:rsidRPr="00BB7A6C">
        <w:rPr>
          <w:rStyle w:val="A5"/>
          <w:rFonts w:ascii="Calibri" w:hAnsi="Calibri" w:cs="Calibri"/>
          <w:color w:val="000000" w:themeColor="text1"/>
          <w:lang w:val="sr-Cyrl-RS"/>
        </w:rPr>
        <w:t xml:space="preserve">извјештаје о акредитацији високошколске установе и студијских програма. </w:t>
      </w:r>
      <w:r>
        <w:rPr>
          <w:rStyle w:val="A5"/>
          <w:rFonts w:ascii="Calibri" w:hAnsi="Calibri" w:cs="Calibri"/>
          <w:color w:val="000000" w:themeColor="text1"/>
          <w:lang w:val="sr-Cyrl-RS"/>
        </w:rPr>
        <w:t>Након</w:t>
      </w:r>
      <w:r w:rsidRPr="00BB7A6C">
        <w:rPr>
          <w:rStyle w:val="A5"/>
          <w:rFonts w:ascii="Calibri" w:hAnsi="Calibri" w:cs="Calibri"/>
          <w:color w:val="000000" w:themeColor="text1"/>
          <w:lang w:val="sr-Cyrl-RS"/>
        </w:rPr>
        <w:t xml:space="preserve"> чињенично</w:t>
      </w:r>
      <w:r>
        <w:rPr>
          <w:rStyle w:val="A5"/>
          <w:rFonts w:ascii="Calibri" w:hAnsi="Calibri" w:cs="Calibri"/>
          <w:color w:val="000000" w:themeColor="text1"/>
          <w:lang w:val="sr-Cyrl-RS"/>
        </w:rPr>
        <w:t>г</w:t>
      </w:r>
      <w:r w:rsidRPr="00BB7A6C">
        <w:rPr>
          <w:rStyle w:val="A5"/>
          <w:rFonts w:ascii="Calibri" w:hAnsi="Calibri" w:cs="Calibri"/>
          <w:color w:val="000000" w:themeColor="text1"/>
          <w:lang w:val="sr-Cyrl-RS"/>
        </w:rPr>
        <w:t xml:space="preserve"> комента</w:t>
      </w:r>
      <w:r>
        <w:rPr>
          <w:rStyle w:val="A5"/>
          <w:rFonts w:ascii="Calibri" w:hAnsi="Calibri" w:cs="Calibri"/>
          <w:color w:val="000000" w:themeColor="text1"/>
          <w:lang w:val="sr-Cyrl-RS"/>
        </w:rPr>
        <w:t>р</w:t>
      </w:r>
      <w:r w:rsidRPr="00BB7A6C">
        <w:rPr>
          <w:rStyle w:val="A5"/>
          <w:rFonts w:ascii="Calibri" w:hAnsi="Calibri" w:cs="Calibri"/>
          <w:color w:val="000000" w:themeColor="text1"/>
          <w:lang w:val="sr-Cyrl-RS"/>
        </w:rPr>
        <w:t>исањ</w:t>
      </w:r>
      <w:r>
        <w:rPr>
          <w:rStyle w:val="A5"/>
          <w:rFonts w:ascii="Calibri" w:hAnsi="Calibri" w:cs="Calibri"/>
          <w:color w:val="000000" w:themeColor="text1"/>
          <w:lang w:val="sr-Cyrl-RS"/>
        </w:rPr>
        <w:t>а извјештаја од стране</w:t>
      </w:r>
      <w:r w:rsidRPr="00BB7A6C">
        <w:rPr>
          <w:rStyle w:val="A5"/>
          <w:rFonts w:ascii="Calibri" w:hAnsi="Calibri" w:cs="Calibri"/>
          <w:color w:val="000000" w:themeColor="text1"/>
          <w:lang w:val="sr-Cyrl-RS"/>
        </w:rPr>
        <w:t xml:space="preserve"> Висок</w:t>
      </w:r>
      <w:r>
        <w:rPr>
          <w:rStyle w:val="A5"/>
          <w:rFonts w:ascii="Calibri" w:hAnsi="Calibri" w:cs="Calibri"/>
          <w:color w:val="000000" w:themeColor="text1"/>
          <w:lang w:val="sr-Cyrl-RS"/>
        </w:rPr>
        <w:t>е</w:t>
      </w:r>
      <w:r w:rsidRPr="00BB7A6C">
        <w:rPr>
          <w:rStyle w:val="A5"/>
          <w:rFonts w:ascii="Calibri" w:hAnsi="Calibri" w:cs="Calibri"/>
          <w:color w:val="000000" w:themeColor="text1"/>
          <w:lang w:val="sr-Cyrl-RS"/>
        </w:rPr>
        <w:t xml:space="preserve"> школ</w:t>
      </w:r>
      <w:r>
        <w:rPr>
          <w:rStyle w:val="A5"/>
          <w:rFonts w:ascii="Calibri" w:hAnsi="Calibri" w:cs="Calibri"/>
          <w:color w:val="000000" w:themeColor="text1"/>
          <w:lang w:val="sr-Cyrl-RS"/>
        </w:rPr>
        <w:t xml:space="preserve">е,  сачињене су коначне верзије извјештаја и достављене на разматрање </w:t>
      </w:r>
      <w:r w:rsidRPr="00BB7A6C">
        <w:rPr>
          <w:rStyle w:val="A5"/>
          <w:rFonts w:ascii="Calibri" w:hAnsi="Calibri" w:cs="Calibri"/>
          <w:color w:val="000000" w:themeColor="text1"/>
          <w:lang w:val="sr-Cyrl-RS"/>
        </w:rPr>
        <w:t>Акредитацијском вијећу</w:t>
      </w:r>
      <w:r>
        <w:rPr>
          <w:rStyle w:val="A5"/>
          <w:rFonts w:ascii="Calibri" w:hAnsi="Calibri" w:cs="Calibri"/>
          <w:color w:val="000000" w:themeColor="text1"/>
          <w:lang w:val="sr-Cyrl-RS"/>
        </w:rPr>
        <w:t xml:space="preserve">. </w:t>
      </w:r>
      <w:r w:rsidRPr="00BB7A6C">
        <w:rPr>
          <w:rStyle w:val="A5"/>
          <w:rFonts w:ascii="Calibri" w:hAnsi="Calibri" w:cs="Calibri"/>
          <w:color w:val="000000" w:themeColor="text1"/>
          <w:lang w:val="sr-Cyrl-RS"/>
        </w:rPr>
        <w:t xml:space="preserve"> Акредитацијско вијеће је </w:t>
      </w:r>
      <w:r>
        <w:rPr>
          <w:rStyle w:val="A5"/>
          <w:rFonts w:ascii="Calibri" w:hAnsi="Calibri" w:cs="Calibri"/>
          <w:color w:val="000000" w:themeColor="text1"/>
          <w:lang w:val="sr-Cyrl-RS"/>
        </w:rPr>
        <w:t xml:space="preserve">у мају 2024. године </w:t>
      </w:r>
      <w:r w:rsidRPr="00BB7A6C">
        <w:rPr>
          <w:rStyle w:val="A5"/>
          <w:rFonts w:ascii="Calibri" w:hAnsi="Calibri" w:cs="Calibri"/>
          <w:color w:val="000000" w:themeColor="text1"/>
          <w:lang w:val="sr-Cyrl-RS"/>
        </w:rPr>
        <w:t xml:space="preserve">донијело Закључак о усклађености поступка вањског вредновања </w:t>
      </w:r>
      <w:r>
        <w:rPr>
          <w:rStyle w:val="A5"/>
          <w:rFonts w:ascii="Calibri" w:hAnsi="Calibri" w:cs="Calibri"/>
          <w:color w:val="000000" w:themeColor="text1"/>
          <w:lang w:val="sr-Cyrl-RS"/>
        </w:rPr>
        <w:t xml:space="preserve">са </w:t>
      </w:r>
      <w:r w:rsidRPr="007C7563">
        <w:rPr>
          <w:rStyle w:val="A5"/>
          <w:rFonts w:ascii="Calibri" w:hAnsi="Calibri" w:cs="Calibri"/>
          <w:color w:val="000000" w:themeColor="text1"/>
          <w:lang w:val="sr-Cyrl-RS"/>
        </w:rPr>
        <w:t>Правилник</w:t>
      </w:r>
      <w:r>
        <w:rPr>
          <w:rStyle w:val="A5"/>
          <w:rFonts w:ascii="Calibri" w:hAnsi="Calibri" w:cs="Calibri"/>
          <w:color w:val="000000" w:themeColor="text1"/>
          <w:lang w:val="sr-Cyrl-RS"/>
        </w:rPr>
        <w:t>ом</w:t>
      </w:r>
      <w:r w:rsidRPr="007C7563">
        <w:rPr>
          <w:rStyle w:val="A5"/>
          <w:rFonts w:ascii="Calibri" w:hAnsi="Calibri" w:cs="Calibri"/>
          <w:color w:val="000000" w:themeColor="text1"/>
          <w:lang w:val="sr-Cyrl-RS"/>
        </w:rPr>
        <w:t xml:space="preserve"> о акредитацији високошколских установа и студијских програма, </w:t>
      </w:r>
      <w:r>
        <w:rPr>
          <w:rStyle w:val="A5"/>
          <w:rFonts w:ascii="Calibri" w:hAnsi="Calibri" w:cs="Calibri"/>
          <w:color w:val="000000" w:themeColor="text1"/>
          <w:lang w:val="sr-Cyrl-RS"/>
        </w:rPr>
        <w:t>К</w:t>
      </w:r>
      <w:r w:rsidRPr="007C7563">
        <w:rPr>
          <w:rStyle w:val="A5"/>
          <w:rFonts w:ascii="Calibri" w:hAnsi="Calibri" w:cs="Calibri"/>
          <w:color w:val="000000" w:themeColor="text1"/>
          <w:lang w:val="sr-Cyrl-RS"/>
        </w:rPr>
        <w:t>ритеријум</w:t>
      </w:r>
      <w:r>
        <w:rPr>
          <w:rStyle w:val="A5"/>
          <w:rFonts w:ascii="Calibri" w:hAnsi="Calibri" w:cs="Calibri"/>
          <w:color w:val="000000" w:themeColor="text1"/>
          <w:lang w:val="sr-Cyrl-RS"/>
        </w:rPr>
        <w:t xml:space="preserve">има </w:t>
      </w:r>
      <w:r w:rsidRPr="007C7563">
        <w:rPr>
          <w:rStyle w:val="A5"/>
          <w:rFonts w:ascii="Calibri" w:hAnsi="Calibri" w:cs="Calibri"/>
          <w:color w:val="000000" w:themeColor="text1"/>
          <w:lang w:val="sr-Cyrl-RS"/>
        </w:rPr>
        <w:t xml:space="preserve">за акредитацију високошколских установа, </w:t>
      </w:r>
      <w:r>
        <w:rPr>
          <w:rStyle w:val="A5"/>
          <w:rFonts w:ascii="Calibri" w:hAnsi="Calibri" w:cs="Calibri"/>
          <w:color w:val="000000" w:themeColor="text1"/>
          <w:lang w:val="sr-Cyrl-RS"/>
        </w:rPr>
        <w:t>К</w:t>
      </w:r>
      <w:r w:rsidRPr="007C7563">
        <w:rPr>
          <w:rStyle w:val="A5"/>
          <w:rFonts w:ascii="Calibri" w:hAnsi="Calibri" w:cs="Calibri"/>
          <w:color w:val="000000" w:themeColor="text1"/>
          <w:lang w:val="sr-Cyrl-RS"/>
        </w:rPr>
        <w:t>ритеријум</w:t>
      </w:r>
      <w:r>
        <w:rPr>
          <w:rStyle w:val="A5"/>
          <w:rFonts w:ascii="Calibri" w:hAnsi="Calibri" w:cs="Calibri"/>
          <w:color w:val="000000" w:themeColor="text1"/>
          <w:lang w:val="sr-Cyrl-RS"/>
        </w:rPr>
        <w:t>има</w:t>
      </w:r>
      <w:r w:rsidRPr="007C7563">
        <w:rPr>
          <w:rStyle w:val="A5"/>
          <w:rFonts w:ascii="Calibri" w:hAnsi="Calibri" w:cs="Calibri"/>
          <w:color w:val="000000" w:themeColor="text1"/>
          <w:lang w:val="sr-Cyrl-RS"/>
        </w:rPr>
        <w:t xml:space="preserve"> за акредитацију студијских програма првог и другог циклуса у БиХ и Стандардима и смјерницама за обезбјеђење квалитета у Европском пр</w:t>
      </w:r>
      <w:r>
        <w:rPr>
          <w:rStyle w:val="A5"/>
          <w:rFonts w:ascii="Calibri" w:hAnsi="Calibri" w:cs="Calibri"/>
          <w:color w:val="000000" w:themeColor="text1"/>
          <w:lang w:val="sr-Cyrl-RS"/>
        </w:rPr>
        <w:t xml:space="preserve">остору високог образовања. На захтјев Агенције за издавање препоруке, </w:t>
      </w:r>
      <w:r w:rsidRPr="00BB7A6C">
        <w:rPr>
          <w:rStyle w:val="A5"/>
          <w:rFonts w:ascii="Calibri" w:hAnsi="Calibri" w:cs="Calibri"/>
          <w:color w:val="000000" w:themeColor="text1"/>
          <w:lang w:val="sr-Cyrl-RS"/>
        </w:rPr>
        <w:t xml:space="preserve"> </w:t>
      </w:r>
      <w:r>
        <w:rPr>
          <w:rStyle w:val="A5"/>
          <w:rFonts w:ascii="Calibri" w:hAnsi="Calibri" w:cs="Calibri"/>
          <w:color w:val="000000" w:themeColor="text1"/>
          <w:lang w:val="sr-Cyrl-RS"/>
        </w:rPr>
        <w:t xml:space="preserve">ХЕА је у јуну 2024. године </w:t>
      </w:r>
      <w:r w:rsidRPr="00BB7A6C">
        <w:rPr>
          <w:rStyle w:val="A5"/>
          <w:rFonts w:ascii="Calibri" w:hAnsi="Calibri" w:cs="Calibri"/>
          <w:color w:val="000000" w:themeColor="text1"/>
          <w:lang w:val="sr-Cyrl-RS"/>
        </w:rPr>
        <w:t>издала препоруку да се високошколској установи и студијским програми</w:t>
      </w:r>
      <w:r>
        <w:rPr>
          <w:rStyle w:val="A5"/>
          <w:rFonts w:ascii="Calibri" w:hAnsi="Calibri" w:cs="Calibri"/>
          <w:color w:val="000000" w:themeColor="text1"/>
          <w:lang w:val="sr-Cyrl-RS"/>
        </w:rPr>
        <w:t xml:space="preserve">ма Туризам и хотелијерство и Пословна економија туристичке привреде изда рјешење о акредитацији. </w:t>
      </w:r>
      <w:r w:rsidRPr="00BB7A6C">
        <w:rPr>
          <w:rStyle w:val="A5"/>
          <w:rFonts w:ascii="Calibri" w:hAnsi="Calibri" w:cs="Calibri"/>
          <w:color w:val="000000" w:themeColor="text1"/>
          <w:lang w:val="sr-Cyrl-RS"/>
        </w:rPr>
        <w:t xml:space="preserve">Агенција је у складу са препоруком Комисије стручњака, Закључком Акредитацијског вијећа и препоруком  </w:t>
      </w:r>
      <w:r>
        <w:rPr>
          <w:rStyle w:val="A5"/>
          <w:rFonts w:ascii="Calibri" w:hAnsi="Calibri" w:cs="Calibri"/>
          <w:color w:val="000000" w:themeColor="text1"/>
          <w:lang w:val="sr-Cyrl-RS"/>
        </w:rPr>
        <w:t>ХЕА</w:t>
      </w:r>
      <w:r w:rsidRPr="00BB7A6C">
        <w:rPr>
          <w:rStyle w:val="A5"/>
          <w:rFonts w:ascii="Calibri" w:hAnsi="Calibri" w:cs="Calibri"/>
          <w:color w:val="000000" w:themeColor="text1"/>
          <w:lang w:val="sr-Cyrl-RS"/>
        </w:rPr>
        <w:t xml:space="preserve"> издала рјешење о акредитацији високошколске установе и рјешење о акредитацији студијских програма</w:t>
      </w:r>
      <w:r>
        <w:rPr>
          <w:rStyle w:val="A5"/>
          <w:rFonts w:ascii="Calibri" w:hAnsi="Calibri" w:cs="Calibri"/>
          <w:color w:val="000000" w:themeColor="text1"/>
          <w:lang w:val="sr-Cyrl-RS"/>
        </w:rPr>
        <w:t xml:space="preserve"> Туризам и хотелијерство и Пословна економија туристичке привреде</w:t>
      </w:r>
      <w:r w:rsidRPr="00BB7A6C">
        <w:rPr>
          <w:rStyle w:val="A5"/>
          <w:rFonts w:ascii="Calibri" w:hAnsi="Calibri" w:cs="Calibri"/>
          <w:color w:val="000000" w:themeColor="text1"/>
          <w:lang w:val="sr-Cyrl-RS"/>
        </w:rPr>
        <w:t>.</w:t>
      </w:r>
    </w:p>
    <w:p w:rsidR="00075DF3" w:rsidRPr="003F3FF1" w:rsidRDefault="003C48C9" w:rsidP="00B23B31">
      <w:pPr>
        <w:spacing w:after="240" w:line="276" w:lineRule="auto"/>
        <w:jc w:val="both"/>
        <w:rPr>
          <w:rStyle w:val="A5"/>
          <w:rFonts w:ascii="Calibri" w:hAnsi="Calibri" w:cs="Calibri"/>
          <w:color w:val="000000" w:themeColor="text1"/>
          <w:lang w:val="sr-Cyrl-RS"/>
        </w:rPr>
      </w:pPr>
      <w:r w:rsidRPr="003C48C9">
        <w:rPr>
          <w:rStyle w:val="A5"/>
          <w:rFonts w:ascii="Calibri" w:hAnsi="Calibri" w:cs="Calibri"/>
          <w:color w:val="000000" w:themeColor="text1"/>
          <w:lang w:val="sr-Cyrl-RS"/>
        </w:rPr>
        <w:t>Након доношења рјешења о одбијању акредитације за</w:t>
      </w:r>
      <w:r>
        <w:rPr>
          <w:rStyle w:val="A5"/>
          <w:rFonts w:ascii="Calibri" w:hAnsi="Calibri" w:cs="Calibri"/>
          <w:b/>
          <w:color w:val="000000" w:themeColor="text1"/>
          <w:lang w:val="sr-Cyrl-RS"/>
        </w:rPr>
        <w:t xml:space="preserve"> </w:t>
      </w:r>
      <w:r w:rsidR="00637F6E" w:rsidRPr="001218D2">
        <w:rPr>
          <w:rStyle w:val="A5"/>
          <w:rFonts w:ascii="Calibri" w:hAnsi="Calibri" w:cs="Calibri"/>
          <w:b/>
          <w:color w:val="000000" w:themeColor="text1"/>
          <w:lang w:val="sr-Cyrl-RS"/>
        </w:rPr>
        <w:t>Висок</w:t>
      </w:r>
      <w:r>
        <w:rPr>
          <w:rStyle w:val="A5"/>
          <w:rFonts w:ascii="Calibri" w:hAnsi="Calibri" w:cs="Calibri"/>
          <w:b/>
          <w:color w:val="000000" w:themeColor="text1"/>
          <w:lang w:val="sr-Cyrl-RS"/>
        </w:rPr>
        <w:t>у</w:t>
      </w:r>
      <w:r w:rsidR="00637F6E" w:rsidRPr="001218D2">
        <w:rPr>
          <w:rStyle w:val="A5"/>
          <w:rFonts w:ascii="Calibri" w:hAnsi="Calibri" w:cs="Calibri"/>
          <w:b/>
          <w:color w:val="000000" w:themeColor="text1"/>
          <w:lang w:val="sr-Cyrl-RS"/>
        </w:rPr>
        <w:t xml:space="preserve"> школ</w:t>
      </w:r>
      <w:r>
        <w:rPr>
          <w:rStyle w:val="A5"/>
          <w:rFonts w:ascii="Calibri" w:hAnsi="Calibri" w:cs="Calibri"/>
          <w:b/>
          <w:color w:val="000000" w:themeColor="text1"/>
          <w:lang w:val="sr-Cyrl-RS"/>
        </w:rPr>
        <w:t>у</w:t>
      </w:r>
      <w:r w:rsidR="00637F6E" w:rsidRPr="001218D2">
        <w:rPr>
          <w:rStyle w:val="A5"/>
          <w:rFonts w:ascii="Calibri" w:hAnsi="Calibri" w:cs="Calibri"/>
          <w:b/>
          <w:color w:val="000000" w:themeColor="text1"/>
          <w:lang w:val="sr-Cyrl-RS"/>
        </w:rPr>
        <w:t xml:space="preserve"> за економију и информатику Приједор</w:t>
      </w:r>
      <w:r>
        <w:rPr>
          <w:rStyle w:val="A5"/>
          <w:rFonts w:ascii="Calibri" w:hAnsi="Calibri" w:cs="Calibri"/>
          <w:b/>
          <w:color w:val="000000" w:themeColor="text1"/>
          <w:lang w:val="sr-Cyrl-RS"/>
        </w:rPr>
        <w:t xml:space="preserve">  </w:t>
      </w:r>
      <w:r w:rsidR="003D1245" w:rsidRPr="003D1245">
        <w:rPr>
          <w:rStyle w:val="A5"/>
          <w:rFonts w:ascii="Calibri" w:hAnsi="Calibri" w:cs="Calibri"/>
          <w:color w:val="000000" w:themeColor="text1"/>
          <w:lang w:val="sr-Cyrl-RS"/>
        </w:rPr>
        <w:t>и студијски програм Јавна управа</w:t>
      </w:r>
      <w:r w:rsidR="003D1245">
        <w:rPr>
          <w:rStyle w:val="A5"/>
          <w:rFonts w:ascii="Calibri" w:hAnsi="Calibri" w:cs="Calibri"/>
          <w:b/>
          <w:color w:val="000000" w:themeColor="text1"/>
          <w:lang w:val="sr-Cyrl-RS"/>
        </w:rPr>
        <w:t xml:space="preserve"> </w:t>
      </w:r>
      <w:r w:rsidRPr="003C48C9">
        <w:rPr>
          <w:rStyle w:val="A5"/>
          <w:rFonts w:ascii="Calibri" w:hAnsi="Calibri" w:cs="Calibri"/>
          <w:color w:val="000000" w:themeColor="text1"/>
          <w:lang w:val="sr-Cyrl-RS"/>
        </w:rPr>
        <w:t>у марту 2023. године,</w:t>
      </w:r>
      <w:r>
        <w:rPr>
          <w:rStyle w:val="A5"/>
          <w:rFonts w:ascii="Calibri" w:hAnsi="Calibri" w:cs="Calibri"/>
          <w:b/>
          <w:color w:val="000000" w:themeColor="text1"/>
          <w:lang w:val="sr-Cyrl-RS"/>
        </w:rPr>
        <w:t xml:space="preserve">  </w:t>
      </w:r>
      <w:r w:rsidRPr="003D1245">
        <w:rPr>
          <w:rStyle w:val="A5"/>
          <w:rFonts w:ascii="Calibri" w:hAnsi="Calibri" w:cs="Calibri"/>
          <w:color w:val="000000" w:themeColor="text1"/>
          <w:lang w:val="sr-Cyrl-RS"/>
        </w:rPr>
        <w:t>Висока школа</w:t>
      </w:r>
      <w:r>
        <w:rPr>
          <w:rStyle w:val="A5"/>
          <w:rFonts w:ascii="Calibri" w:hAnsi="Calibri" w:cs="Calibri"/>
          <w:b/>
          <w:color w:val="000000" w:themeColor="text1"/>
          <w:lang w:val="sr-Cyrl-RS"/>
        </w:rPr>
        <w:t xml:space="preserve"> </w:t>
      </w:r>
      <w:r w:rsidR="00637F6E" w:rsidRPr="003F3FF1">
        <w:rPr>
          <w:rStyle w:val="A5"/>
          <w:rFonts w:ascii="Calibri" w:hAnsi="Calibri" w:cs="Calibri"/>
          <w:color w:val="000000" w:themeColor="text1"/>
          <w:lang w:val="sr-Cyrl-RS"/>
        </w:rPr>
        <w:t xml:space="preserve"> је поднијела тужбу против акта Управног одбора Агенције о одбијању </w:t>
      </w:r>
      <w:r w:rsidR="00A6164C">
        <w:rPr>
          <w:rStyle w:val="A5"/>
          <w:rFonts w:ascii="Calibri" w:hAnsi="Calibri" w:cs="Calibri"/>
          <w:color w:val="000000" w:themeColor="text1"/>
          <w:lang w:val="sr-Cyrl-RS"/>
        </w:rPr>
        <w:t xml:space="preserve">жалбе изјављене на рјешење о одбијању </w:t>
      </w:r>
      <w:r w:rsidR="00637F6E" w:rsidRPr="003F3FF1">
        <w:rPr>
          <w:rStyle w:val="A5"/>
          <w:rFonts w:ascii="Calibri" w:hAnsi="Calibri" w:cs="Calibri"/>
          <w:color w:val="000000" w:themeColor="text1"/>
          <w:lang w:val="sr-Cyrl-RS"/>
        </w:rPr>
        <w:t>акредитације високошколске установе и студијског програма. Пресуд</w:t>
      </w:r>
      <w:r w:rsidR="00A6164C">
        <w:rPr>
          <w:rStyle w:val="A5"/>
          <w:rFonts w:ascii="Calibri" w:hAnsi="Calibri" w:cs="Calibri"/>
          <w:color w:val="000000" w:themeColor="text1"/>
          <w:lang w:val="sr-Cyrl-RS"/>
        </w:rPr>
        <w:t xml:space="preserve">ом </w:t>
      </w:r>
      <w:r w:rsidR="00637F6E" w:rsidRPr="003F3FF1">
        <w:rPr>
          <w:rStyle w:val="A5"/>
          <w:rFonts w:ascii="Calibri" w:hAnsi="Calibri" w:cs="Calibri"/>
          <w:color w:val="000000" w:themeColor="text1"/>
          <w:lang w:val="sr-Cyrl-RS"/>
        </w:rPr>
        <w:t>Окружног суда</w:t>
      </w:r>
      <w:r w:rsidR="00A6164C">
        <w:rPr>
          <w:rStyle w:val="A5"/>
          <w:rFonts w:ascii="Calibri" w:hAnsi="Calibri" w:cs="Calibri"/>
          <w:color w:val="000000" w:themeColor="text1"/>
          <w:lang w:val="sr-Cyrl-RS"/>
        </w:rPr>
        <w:t xml:space="preserve"> Бања Лука</w:t>
      </w:r>
      <w:r w:rsidR="00637F6E" w:rsidRPr="003F3FF1">
        <w:rPr>
          <w:rStyle w:val="A5"/>
          <w:rFonts w:ascii="Calibri" w:hAnsi="Calibri" w:cs="Calibri"/>
          <w:color w:val="000000" w:themeColor="text1"/>
          <w:lang w:val="sr-Cyrl-RS"/>
        </w:rPr>
        <w:t xml:space="preserve"> </w:t>
      </w:r>
      <w:r w:rsidR="00075DF3">
        <w:rPr>
          <w:rStyle w:val="A5"/>
          <w:rFonts w:ascii="Calibri" w:hAnsi="Calibri" w:cs="Calibri"/>
          <w:color w:val="000000" w:themeColor="text1"/>
          <w:lang w:val="sr-Cyrl-RS"/>
        </w:rPr>
        <w:t>о</w:t>
      </w:r>
      <w:r w:rsidR="00A6164C">
        <w:rPr>
          <w:rStyle w:val="A5"/>
          <w:rFonts w:ascii="Calibri" w:hAnsi="Calibri" w:cs="Calibri"/>
          <w:color w:val="000000" w:themeColor="text1"/>
          <w:lang w:val="sr-Cyrl-RS"/>
        </w:rPr>
        <w:t xml:space="preserve">д </w:t>
      </w:r>
      <w:r w:rsidR="00637F6E">
        <w:rPr>
          <w:rStyle w:val="A5"/>
          <w:rFonts w:ascii="Calibri" w:hAnsi="Calibri" w:cs="Calibri"/>
          <w:color w:val="000000" w:themeColor="text1"/>
          <w:lang w:val="sr-Cyrl-RS"/>
        </w:rPr>
        <w:t>6.6.</w:t>
      </w:r>
      <w:r w:rsidR="00637F6E" w:rsidRPr="003F3FF1">
        <w:rPr>
          <w:rStyle w:val="A5"/>
          <w:rFonts w:ascii="Calibri" w:hAnsi="Calibri" w:cs="Calibri"/>
          <w:color w:val="000000" w:themeColor="text1"/>
          <w:lang w:val="sr-Cyrl-RS"/>
        </w:rPr>
        <w:t>2024. године</w:t>
      </w:r>
      <w:r w:rsidR="00A6164C">
        <w:rPr>
          <w:rStyle w:val="A5"/>
          <w:rFonts w:ascii="Calibri" w:hAnsi="Calibri" w:cs="Calibri"/>
          <w:color w:val="000000" w:themeColor="text1"/>
          <w:lang w:val="sr-Cyrl-RS"/>
        </w:rPr>
        <w:t xml:space="preserve"> тужба је уважена и оспорени акт поништен. </w:t>
      </w:r>
      <w:r w:rsidR="00637F6E" w:rsidRPr="003F3FF1">
        <w:rPr>
          <w:rStyle w:val="A5"/>
          <w:rFonts w:ascii="Calibri" w:hAnsi="Calibri" w:cs="Calibri"/>
          <w:color w:val="000000" w:themeColor="text1"/>
          <w:lang w:val="sr-Cyrl-RS"/>
        </w:rPr>
        <w:t>Управни одбор је донио О</w:t>
      </w:r>
      <w:r w:rsidR="00637F6E">
        <w:rPr>
          <w:rStyle w:val="A5"/>
          <w:rFonts w:ascii="Calibri" w:hAnsi="Calibri" w:cs="Calibri"/>
          <w:color w:val="000000" w:themeColor="text1"/>
          <w:lang w:val="sr-Cyrl-RS"/>
        </w:rPr>
        <w:t>длуку о начину извршења</w:t>
      </w:r>
      <w:r w:rsidR="00A6164C">
        <w:rPr>
          <w:rStyle w:val="A5"/>
          <w:rFonts w:ascii="Calibri" w:hAnsi="Calibri" w:cs="Calibri"/>
          <w:color w:val="000000" w:themeColor="text1"/>
          <w:lang w:val="sr-Cyrl-RS"/>
        </w:rPr>
        <w:t xml:space="preserve"> наведене </w:t>
      </w:r>
      <w:r w:rsidR="00637F6E">
        <w:rPr>
          <w:rStyle w:val="A5"/>
          <w:rFonts w:ascii="Calibri" w:hAnsi="Calibri" w:cs="Calibri"/>
          <w:color w:val="000000" w:themeColor="text1"/>
          <w:lang w:val="sr-Cyrl-RS"/>
        </w:rPr>
        <w:t xml:space="preserve">пресуде, </w:t>
      </w:r>
      <w:r w:rsidR="00A6164C">
        <w:rPr>
          <w:rStyle w:val="A5"/>
          <w:rFonts w:ascii="Calibri" w:hAnsi="Calibri" w:cs="Calibri"/>
          <w:color w:val="000000" w:themeColor="text1"/>
          <w:lang w:val="sr-Cyrl-RS"/>
        </w:rPr>
        <w:t xml:space="preserve">на основу које је </w:t>
      </w:r>
      <w:r w:rsidR="00637F6E" w:rsidRPr="003F3FF1">
        <w:rPr>
          <w:rStyle w:val="A5"/>
          <w:rFonts w:ascii="Calibri" w:hAnsi="Calibri" w:cs="Calibri"/>
          <w:color w:val="000000" w:themeColor="text1"/>
          <w:lang w:val="sr-Cyrl-RS"/>
        </w:rPr>
        <w:t xml:space="preserve"> Агенција </w:t>
      </w:r>
      <w:r w:rsidR="00A6164C">
        <w:rPr>
          <w:rStyle w:val="A5"/>
          <w:rFonts w:ascii="Calibri" w:hAnsi="Calibri" w:cs="Calibri"/>
          <w:color w:val="000000" w:themeColor="text1"/>
          <w:lang w:val="sr-Cyrl-RS"/>
        </w:rPr>
        <w:t>у јулу 2024. године</w:t>
      </w:r>
      <w:r w:rsidR="00637F6E">
        <w:rPr>
          <w:rStyle w:val="A5"/>
          <w:rFonts w:ascii="Calibri" w:hAnsi="Calibri" w:cs="Calibri"/>
          <w:color w:val="000000" w:themeColor="text1"/>
          <w:lang w:val="sr-Cyrl-RS"/>
        </w:rPr>
        <w:t xml:space="preserve"> </w:t>
      </w:r>
      <w:r w:rsidR="00637F6E" w:rsidRPr="003F3FF1">
        <w:rPr>
          <w:rStyle w:val="A5"/>
          <w:rFonts w:ascii="Calibri" w:hAnsi="Calibri" w:cs="Calibri"/>
          <w:color w:val="000000" w:themeColor="text1"/>
          <w:lang w:val="sr-Cyrl-RS"/>
        </w:rPr>
        <w:t>поново донијела рјешење о одбијању акредитације установ</w:t>
      </w:r>
      <w:r w:rsidR="00232F51">
        <w:rPr>
          <w:rStyle w:val="A5"/>
          <w:rFonts w:ascii="Calibri" w:hAnsi="Calibri" w:cs="Calibri"/>
          <w:color w:val="000000" w:themeColor="text1"/>
          <w:lang w:val="sr-Cyrl-RS"/>
        </w:rPr>
        <w:t>е</w:t>
      </w:r>
      <w:r w:rsidR="00637F6E" w:rsidRPr="003F3FF1">
        <w:rPr>
          <w:rStyle w:val="A5"/>
          <w:rFonts w:ascii="Calibri" w:hAnsi="Calibri" w:cs="Calibri"/>
          <w:color w:val="000000" w:themeColor="text1"/>
          <w:lang w:val="sr-Cyrl-RS"/>
        </w:rPr>
        <w:t xml:space="preserve"> и студијско</w:t>
      </w:r>
      <w:r w:rsidR="00232F51">
        <w:rPr>
          <w:rStyle w:val="A5"/>
          <w:rFonts w:ascii="Calibri" w:hAnsi="Calibri" w:cs="Calibri"/>
          <w:color w:val="000000" w:themeColor="text1"/>
          <w:lang w:val="sr-Cyrl-RS"/>
        </w:rPr>
        <w:t>г</w:t>
      </w:r>
      <w:r w:rsidR="00637F6E" w:rsidRPr="003F3FF1">
        <w:rPr>
          <w:rStyle w:val="A5"/>
          <w:rFonts w:ascii="Calibri" w:hAnsi="Calibri" w:cs="Calibri"/>
          <w:color w:val="000000" w:themeColor="text1"/>
          <w:lang w:val="sr-Cyrl-RS"/>
        </w:rPr>
        <w:t xml:space="preserve"> програм</w:t>
      </w:r>
      <w:r w:rsidR="00232F51">
        <w:rPr>
          <w:rStyle w:val="A5"/>
          <w:rFonts w:ascii="Calibri" w:hAnsi="Calibri" w:cs="Calibri"/>
          <w:color w:val="000000" w:themeColor="text1"/>
          <w:lang w:val="sr-Cyrl-RS"/>
        </w:rPr>
        <w:t>а, уважавајућу правно схватање и примједбе суда у погледу поступка.</w:t>
      </w:r>
      <w:r w:rsidR="00232F51" w:rsidRPr="00232F51">
        <w:rPr>
          <w:rStyle w:val="A5"/>
          <w:rFonts w:ascii="Calibri" w:hAnsi="Calibri" w:cs="Calibri"/>
          <w:color w:val="000000" w:themeColor="text1"/>
          <w:lang w:val="sr-Cyrl-RS"/>
        </w:rPr>
        <w:t xml:space="preserve"> </w:t>
      </w:r>
      <w:r w:rsidR="00232F51">
        <w:rPr>
          <w:rStyle w:val="A5"/>
          <w:rFonts w:ascii="Calibri" w:hAnsi="Calibri" w:cs="Calibri"/>
          <w:color w:val="000000" w:themeColor="text1"/>
          <w:lang w:val="sr-Cyrl-RS"/>
        </w:rPr>
        <w:t xml:space="preserve">Агенција је такође поднијела и захтјев Врховном суду за ванредно преиспитивање наведене судске одлуке. </w:t>
      </w:r>
      <w:r w:rsidR="00C153E1">
        <w:rPr>
          <w:rStyle w:val="A5"/>
          <w:rFonts w:ascii="Calibri" w:hAnsi="Calibri" w:cs="Calibri"/>
          <w:color w:val="000000" w:themeColor="text1"/>
          <w:lang w:val="sr-Cyrl-RS"/>
        </w:rPr>
        <w:t xml:space="preserve">Након одбијања жалбе </w:t>
      </w:r>
      <w:r w:rsidR="001B431C">
        <w:rPr>
          <w:rStyle w:val="A5"/>
          <w:rFonts w:ascii="Calibri" w:hAnsi="Calibri" w:cs="Calibri"/>
          <w:color w:val="000000" w:themeColor="text1"/>
          <w:lang w:val="sr-Cyrl-RS"/>
        </w:rPr>
        <w:t xml:space="preserve">Високе школе </w:t>
      </w:r>
      <w:r w:rsidR="00C153E1">
        <w:rPr>
          <w:rStyle w:val="A5"/>
          <w:rFonts w:ascii="Calibri" w:hAnsi="Calibri" w:cs="Calibri"/>
          <w:color w:val="000000" w:themeColor="text1"/>
          <w:lang w:val="sr-Cyrl-RS"/>
        </w:rPr>
        <w:t xml:space="preserve">на рјешење о одбијању акредитације од стране Управног одбора Агенције и поновне тужбе против акта Управног одбора, </w:t>
      </w:r>
      <w:r w:rsidR="001B431C">
        <w:rPr>
          <w:rStyle w:val="A5"/>
          <w:rFonts w:ascii="Calibri" w:hAnsi="Calibri" w:cs="Calibri"/>
          <w:color w:val="000000" w:themeColor="text1"/>
          <w:lang w:val="sr-Cyrl-RS"/>
        </w:rPr>
        <w:t>Окружни суд је 3.12.2024. године</w:t>
      </w:r>
      <w:r w:rsidR="001B431C" w:rsidRPr="003F3FF1">
        <w:rPr>
          <w:rStyle w:val="A5"/>
          <w:rFonts w:ascii="Calibri" w:hAnsi="Calibri" w:cs="Calibri"/>
          <w:color w:val="000000" w:themeColor="text1"/>
          <w:lang w:val="sr-Cyrl-RS"/>
        </w:rPr>
        <w:t xml:space="preserve"> </w:t>
      </w:r>
      <w:r w:rsidR="001B431C">
        <w:rPr>
          <w:rStyle w:val="A5"/>
          <w:rFonts w:ascii="Calibri" w:hAnsi="Calibri" w:cs="Calibri"/>
          <w:color w:val="000000" w:themeColor="text1"/>
          <w:lang w:val="sr-Cyrl-RS"/>
        </w:rPr>
        <w:t>донио пресуду којом се тужба Високе школе уважава и оспорени акт поништава.</w:t>
      </w:r>
      <w:r w:rsidR="001B431C" w:rsidRPr="001B431C">
        <w:rPr>
          <w:rStyle w:val="A5"/>
          <w:rFonts w:ascii="Calibri" w:hAnsi="Calibri" w:cs="Calibri"/>
          <w:color w:val="000000" w:themeColor="text1"/>
          <w:lang w:val="sr-Cyrl-RS"/>
        </w:rPr>
        <w:t xml:space="preserve"> </w:t>
      </w:r>
      <w:r w:rsidR="001B431C">
        <w:rPr>
          <w:rStyle w:val="A5"/>
          <w:rFonts w:ascii="Calibri" w:hAnsi="Calibri" w:cs="Calibri"/>
          <w:color w:val="000000" w:themeColor="text1"/>
          <w:lang w:val="sr-Cyrl-RS"/>
        </w:rPr>
        <w:t>Уважавајућу правно схватање и примједбе суда у погледу поступка, Управни одбор Агенције је</w:t>
      </w:r>
      <w:r w:rsidR="00685F6D">
        <w:rPr>
          <w:rStyle w:val="A5"/>
          <w:rFonts w:ascii="Calibri" w:hAnsi="Calibri" w:cs="Calibri"/>
          <w:color w:val="000000" w:themeColor="text1"/>
          <w:lang w:val="sr-Latn-RS"/>
        </w:rPr>
        <w:t xml:space="preserve"> </w:t>
      </w:r>
      <w:r w:rsidR="00685F6D">
        <w:rPr>
          <w:rStyle w:val="A5"/>
          <w:rFonts w:ascii="Calibri" w:hAnsi="Calibri" w:cs="Calibri"/>
          <w:color w:val="000000" w:themeColor="text1"/>
          <w:lang w:val="sr-Cyrl-RS"/>
        </w:rPr>
        <w:t>на сједници одржаној</w:t>
      </w:r>
      <w:r w:rsidR="001B431C">
        <w:rPr>
          <w:rStyle w:val="A5"/>
          <w:rFonts w:ascii="Calibri" w:hAnsi="Calibri" w:cs="Calibri"/>
          <w:color w:val="000000" w:themeColor="text1"/>
          <w:lang w:val="sr-Cyrl-RS"/>
        </w:rPr>
        <w:t xml:space="preserve"> </w:t>
      </w:r>
      <w:r w:rsidR="00075DF3">
        <w:rPr>
          <w:rStyle w:val="A5"/>
          <w:rFonts w:ascii="Calibri" w:hAnsi="Calibri" w:cs="Calibri"/>
          <w:color w:val="000000" w:themeColor="text1"/>
          <w:lang w:val="sr-Cyrl-RS"/>
        </w:rPr>
        <w:t>25.12. 2024. године</w:t>
      </w:r>
      <w:r w:rsidR="00685F6D">
        <w:rPr>
          <w:rStyle w:val="A5"/>
          <w:rFonts w:ascii="Calibri" w:hAnsi="Calibri" w:cs="Calibri"/>
          <w:color w:val="000000" w:themeColor="text1"/>
          <w:lang w:val="sr-Cyrl-RS"/>
        </w:rPr>
        <w:t>,</w:t>
      </w:r>
      <w:r w:rsidR="00075DF3">
        <w:rPr>
          <w:rStyle w:val="A5"/>
          <w:rFonts w:ascii="Calibri" w:hAnsi="Calibri" w:cs="Calibri"/>
          <w:color w:val="000000" w:themeColor="text1"/>
          <w:lang w:val="sr-Cyrl-RS"/>
        </w:rPr>
        <w:t xml:space="preserve"> </w:t>
      </w:r>
      <w:r w:rsidR="00075DF3" w:rsidRPr="003F3FF1">
        <w:rPr>
          <w:rStyle w:val="A5"/>
          <w:rFonts w:ascii="Calibri" w:hAnsi="Calibri" w:cs="Calibri"/>
          <w:color w:val="000000" w:themeColor="text1"/>
          <w:lang w:val="sr-Cyrl-RS"/>
        </w:rPr>
        <w:t xml:space="preserve">донио одлуку </w:t>
      </w:r>
      <w:r w:rsidR="00075DF3">
        <w:rPr>
          <w:rStyle w:val="A5"/>
          <w:rFonts w:ascii="Calibri" w:hAnsi="Calibri" w:cs="Calibri"/>
          <w:color w:val="000000" w:themeColor="text1"/>
          <w:lang w:val="sr-Cyrl-RS"/>
        </w:rPr>
        <w:t xml:space="preserve">о начину извршења пресуде и наложио </w:t>
      </w:r>
      <w:r w:rsidR="00075DF3" w:rsidRPr="003F3FF1">
        <w:rPr>
          <w:rStyle w:val="A5"/>
          <w:rFonts w:ascii="Calibri" w:hAnsi="Calibri" w:cs="Calibri"/>
          <w:color w:val="000000" w:themeColor="text1"/>
          <w:lang w:val="sr-Cyrl-RS"/>
        </w:rPr>
        <w:t>Агенциј</w:t>
      </w:r>
      <w:r w:rsidR="00075DF3">
        <w:rPr>
          <w:rStyle w:val="A5"/>
          <w:rFonts w:ascii="Calibri" w:hAnsi="Calibri" w:cs="Calibri"/>
          <w:color w:val="000000" w:themeColor="text1"/>
          <w:lang w:val="sr-Cyrl-RS"/>
        </w:rPr>
        <w:t>и</w:t>
      </w:r>
      <w:r w:rsidR="00075DF3" w:rsidRPr="003F3FF1">
        <w:rPr>
          <w:rStyle w:val="A5"/>
          <w:rFonts w:ascii="Calibri" w:hAnsi="Calibri" w:cs="Calibri"/>
          <w:color w:val="000000" w:themeColor="text1"/>
          <w:lang w:val="sr-Cyrl-RS"/>
        </w:rPr>
        <w:t xml:space="preserve"> </w:t>
      </w:r>
      <w:r w:rsidR="00075DF3">
        <w:rPr>
          <w:rStyle w:val="A5"/>
          <w:rFonts w:ascii="Calibri" w:hAnsi="Calibri" w:cs="Calibri"/>
          <w:color w:val="000000" w:themeColor="text1"/>
          <w:lang w:val="sr-Cyrl-RS"/>
        </w:rPr>
        <w:t>да за установу и студијски програм Јавна управа донесе писмо очекивања. Агенција је 26.12.2024. године донијела писмо очекивања за установу и студијски програм Јавна управа, у којем је Високој школи остављен рок од три мјесеца за достављање планова отклањања недостатака.</w:t>
      </w:r>
    </w:p>
    <w:p w:rsidR="00404F46" w:rsidRPr="008137BE" w:rsidRDefault="00637F6E" w:rsidP="00404F46">
      <w:pPr>
        <w:spacing w:after="240" w:line="276" w:lineRule="auto"/>
        <w:jc w:val="both"/>
        <w:rPr>
          <w:rStyle w:val="A5"/>
          <w:rFonts w:ascii="Calibri" w:hAnsi="Calibri" w:cs="Calibri"/>
          <w:color w:val="000000" w:themeColor="text1"/>
          <w:lang w:val="sr-Cyrl-RS"/>
        </w:rPr>
      </w:pPr>
      <w:r w:rsidRPr="007C7563">
        <w:rPr>
          <w:rStyle w:val="A5"/>
          <w:rFonts w:ascii="Calibri" w:hAnsi="Calibri" w:cs="Calibri"/>
          <w:color w:val="000000" w:themeColor="text1"/>
          <w:lang w:val="sr-Cyrl-RS"/>
        </w:rPr>
        <w:t xml:space="preserve">У поступку акредитације високошколске установе и студијских програма </w:t>
      </w:r>
      <w:r w:rsidRPr="00930E7A">
        <w:rPr>
          <w:rStyle w:val="A5"/>
          <w:rFonts w:ascii="Calibri" w:hAnsi="Calibri" w:cs="Calibri"/>
          <w:b/>
          <w:color w:val="000000" w:themeColor="text1"/>
          <w:lang w:val="sr-Cyrl-RS"/>
        </w:rPr>
        <w:t>Високе школе за примијењене и правне науке „Прометеј“</w:t>
      </w:r>
      <w:r w:rsidR="0072653F">
        <w:rPr>
          <w:rStyle w:val="A5"/>
          <w:rFonts w:ascii="Calibri" w:hAnsi="Calibri" w:cs="Calibri"/>
          <w:b/>
          <w:color w:val="000000" w:themeColor="text1"/>
          <w:lang w:val="sr-Cyrl-RS"/>
        </w:rPr>
        <w:t>,</w:t>
      </w:r>
      <w:r w:rsidRPr="007C7563">
        <w:rPr>
          <w:rStyle w:val="A5"/>
          <w:rFonts w:ascii="Calibri" w:hAnsi="Calibri" w:cs="Calibri"/>
          <w:color w:val="000000" w:themeColor="text1"/>
          <w:lang w:val="sr-Cyrl-RS"/>
        </w:rPr>
        <w:t xml:space="preserve"> </w:t>
      </w:r>
      <w:r w:rsidR="0072653F">
        <w:rPr>
          <w:rStyle w:val="A5"/>
          <w:rFonts w:ascii="Calibri" w:hAnsi="Calibri" w:cs="Calibri"/>
          <w:color w:val="000000" w:themeColor="text1"/>
          <w:lang w:val="sr-Cyrl-RS"/>
        </w:rPr>
        <w:t xml:space="preserve"> у јануару 2024. године усаглашаване су коначне верзије извјешта о акредитацији између </w:t>
      </w:r>
      <w:r w:rsidRPr="007C7563">
        <w:rPr>
          <w:rStyle w:val="A5"/>
          <w:rFonts w:ascii="Calibri" w:hAnsi="Calibri" w:cs="Calibri"/>
          <w:color w:val="000000" w:themeColor="text1"/>
          <w:lang w:val="sr-Cyrl-RS"/>
        </w:rPr>
        <w:t>Комисиј</w:t>
      </w:r>
      <w:r w:rsidR="0072653F">
        <w:rPr>
          <w:rStyle w:val="A5"/>
          <w:rFonts w:ascii="Calibri" w:hAnsi="Calibri" w:cs="Calibri"/>
          <w:color w:val="000000" w:themeColor="text1"/>
          <w:lang w:val="sr-Cyrl-RS"/>
        </w:rPr>
        <w:t>е</w:t>
      </w:r>
      <w:r w:rsidRPr="007C7563">
        <w:rPr>
          <w:rStyle w:val="A5"/>
          <w:rFonts w:ascii="Calibri" w:hAnsi="Calibri" w:cs="Calibri"/>
          <w:color w:val="000000" w:themeColor="text1"/>
          <w:lang w:val="sr-Cyrl-RS"/>
        </w:rPr>
        <w:t xml:space="preserve"> стручњака за вањско вредновање високошколске установе и студијских програма </w:t>
      </w:r>
      <w:r w:rsidR="0072653F">
        <w:rPr>
          <w:rStyle w:val="A5"/>
          <w:rFonts w:ascii="Calibri" w:hAnsi="Calibri" w:cs="Calibri"/>
          <w:color w:val="000000" w:themeColor="text1"/>
          <w:lang w:val="sr-Cyrl-RS"/>
        </w:rPr>
        <w:t xml:space="preserve">и Акредитацијског вијећа. </w:t>
      </w:r>
      <w:r w:rsidR="0072653F" w:rsidRPr="007C7563">
        <w:rPr>
          <w:rStyle w:val="A5"/>
          <w:rFonts w:ascii="Calibri" w:hAnsi="Calibri" w:cs="Calibri"/>
          <w:color w:val="000000" w:themeColor="text1"/>
          <w:lang w:val="sr-Cyrl-RS"/>
        </w:rPr>
        <w:t xml:space="preserve">Акредитацијско вијеће </w:t>
      </w:r>
      <w:r w:rsidR="0072653F">
        <w:rPr>
          <w:rStyle w:val="A5"/>
          <w:rFonts w:ascii="Calibri" w:hAnsi="Calibri" w:cs="Calibri"/>
          <w:color w:val="000000" w:themeColor="text1"/>
          <w:lang w:val="sr-Cyrl-RS"/>
        </w:rPr>
        <w:t>је у фебруару 2024. године</w:t>
      </w:r>
      <w:r w:rsidRPr="007C7563">
        <w:rPr>
          <w:rStyle w:val="A5"/>
          <w:rFonts w:ascii="Calibri" w:hAnsi="Calibri" w:cs="Calibri"/>
          <w:color w:val="000000" w:themeColor="text1"/>
          <w:lang w:val="sr-Cyrl-RS"/>
        </w:rPr>
        <w:t xml:space="preserve"> донијело Закључак о неусклађености поступка вањског вредновања </w:t>
      </w:r>
      <w:r w:rsidR="0072653F">
        <w:rPr>
          <w:rStyle w:val="A5"/>
          <w:rFonts w:ascii="Calibri" w:hAnsi="Calibri" w:cs="Calibri"/>
          <w:color w:val="000000" w:themeColor="text1"/>
          <w:lang w:val="sr-Cyrl-RS"/>
        </w:rPr>
        <w:t xml:space="preserve">са </w:t>
      </w:r>
      <w:r w:rsidRPr="007C7563">
        <w:rPr>
          <w:rStyle w:val="A5"/>
          <w:rFonts w:ascii="Calibri" w:hAnsi="Calibri" w:cs="Calibri"/>
          <w:color w:val="000000" w:themeColor="text1"/>
          <w:lang w:val="sr-Cyrl-RS"/>
        </w:rPr>
        <w:t xml:space="preserve"> Правилник</w:t>
      </w:r>
      <w:r w:rsidR="0072653F">
        <w:rPr>
          <w:rStyle w:val="A5"/>
          <w:rFonts w:ascii="Calibri" w:hAnsi="Calibri" w:cs="Calibri"/>
          <w:color w:val="000000" w:themeColor="text1"/>
          <w:lang w:val="sr-Cyrl-RS"/>
        </w:rPr>
        <w:t>ом</w:t>
      </w:r>
      <w:r w:rsidRPr="007C7563">
        <w:rPr>
          <w:rStyle w:val="A5"/>
          <w:rFonts w:ascii="Calibri" w:hAnsi="Calibri" w:cs="Calibri"/>
          <w:color w:val="000000" w:themeColor="text1"/>
          <w:lang w:val="sr-Cyrl-RS"/>
        </w:rPr>
        <w:t xml:space="preserve"> о акредитацији високошколских установа и студијских програма, </w:t>
      </w:r>
      <w:r w:rsidR="0072653F">
        <w:rPr>
          <w:rStyle w:val="A5"/>
          <w:rFonts w:ascii="Calibri" w:hAnsi="Calibri" w:cs="Calibri"/>
          <w:color w:val="000000" w:themeColor="text1"/>
          <w:lang w:val="sr-Cyrl-RS"/>
        </w:rPr>
        <w:t>К</w:t>
      </w:r>
      <w:r w:rsidRPr="007C7563">
        <w:rPr>
          <w:rStyle w:val="A5"/>
          <w:rFonts w:ascii="Calibri" w:hAnsi="Calibri" w:cs="Calibri"/>
          <w:color w:val="000000" w:themeColor="text1"/>
          <w:lang w:val="sr-Cyrl-RS"/>
        </w:rPr>
        <w:t>ритеријум</w:t>
      </w:r>
      <w:r w:rsidR="0072653F">
        <w:rPr>
          <w:rStyle w:val="A5"/>
          <w:rFonts w:ascii="Calibri" w:hAnsi="Calibri" w:cs="Calibri"/>
          <w:color w:val="000000" w:themeColor="text1"/>
          <w:lang w:val="sr-Cyrl-RS"/>
        </w:rPr>
        <w:t xml:space="preserve">има </w:t>
      </w:r>
      <w:r w:rsidRPr="007C7563">
        <w:rPr>
          <w:rStyle w:val="A5"/>
          <w:rFonts w:ascii="Calibri" w:hAnsi="Calibri" w:cs="Calibri"/>
          <w:color w:val="000000" w:themeColor="text1"/>
          <w:lang w:val="sr-Cyrl-RS"/>
        </w:rPr>
        <w:t xml:space="preserve">за акредитацију високошколских установа, </w:t>
      </w:r>
      <w:r w:rsidR="00511D76">
        <w:rPr>
          <w:rStyle w:val="A5"/>
          <w:rFonts w:ascii="Calibri" w:hAnsi="Calibri" w:cs="Calibri"/>
          <w:color w:val="000000" w:themeColor="text1"/>
          <w:lang w:val="sr-Cyrl-RS"/>
        </w:rPr>
        <w:t>К</w:t>
      </w:r>
      <w:r w:rsidRPr="007C7563">
        <w:rPr>
          <w:rStyle w:val="A5"/>
          <w:rFonts w:ascii="Calibri" w:hAnsi="Calibri" w:cs="Calibri"/>
          <w:color w:val="000000" w:themeColor="text1"/>
          <w:lang w:val="sr-Cyrl-RS"/>
        </w:rPr>
        <w:t>ритеријум</w:t>
      </w:r>
      <w:r w:rsidR="0072653F">
        <w:rPr>
          <w:rStyle w:val="A5"/>
          <w:rFonts w:ascii="Calibri" w:hAnsi="Calibri" w:cs="Calibri"/>
          <w:color w:val="000000" w:themeColor="text1"/>
          <w:lang w:val="sr-Cyrl-RS"/>
        </w:rPr>
        <w:t>има</w:t>
      </w:r>
      <w:r w:rsidRPr="007C7563">
        <w:rPr>
          <w:rStyle w:val="A5"/>
          <w:rFonts w:ascii="Calibri" w:hAnsi="Calibri" w:cs="Calibri"/>
          <w:color w:val="000000" w:themeColor="text1"/>
          <w:lang w:val="sr-Cyrl-RS"/>
        </w:rPr>
        <w:t xml:space="preserve"> за акредитацију студијских програма првог и другог циклуса у БиХ и Стандардима и смјерницама за обезбјеђење квалитета у Европском пр</w:t>
      </w:r>
      <w:r w:rsidR="0072653F">
        <w:rPr>
          <w:rStyle w:val="A5"/>
          <w:rFonts w:ascii="Calibri" w:hAnsi="Calibri" w:cs="Calibri"/>
          <w:color w:val="000000" w:themeColor="text1"/>
          <w:lang w:val="sr-Cyrl-RS"/>
        </w:rPr>
        <w:t xml:space="preserve">остору високог образовања. На основу извјештаја о вањском вредновању установе и студијских програма и узимајући у обзир Закључак Акредитацијскох вијећа, </w:t>
      </w:r>
      <w:r w:rsidR="00BF1161">
        <w:rPr>
          <w:rStyle w:val="A5"/>
          <w:rFonts w:ascii="Calibri" w:hAnsi="Calibri" w:cs="Calibri"/>
          <w:color w:val="000000" w:themeColor="text1"/>
          <w:lang w:val="sr-Cyrl-RS"/>
        </w:rPr>
        <w:t>ХЕА</w:t>
      </w:r>
      <w:r w:rsidR="0072653F" w:rsidRPr="007C7563">
        <w:rPr>
          <w:rStyle w:val="A5"/>
          <w:rFonts w:ascii="Calibri" w:hAnsi="Calibri" w:cs="Calibri"/>
          <w:color w:val="000000" w:themeColor="text1"/>
          <w:lang w:val="sr-Cyrl-RS"/>
        </w:rPr>
        <w:t xml:space="preserve"> </w:t>
      </w:r>
      <w:r w:rsidR="0072653F">
        <w:rPr>
          <w:rStyle w:val="A5"/>
          <w:rFonts w:ascii="Calibri" w:hAnsi="Calibri" w:cs="Calibri"/>
          <w:color w:val="000000" w:themeColor="text1"/>
          <w:lang w:val="sr-Cyrl-RS"/>
        </w:rPr>
        <w:t xml:space="preserve">је у мају 2024. године доставила Агенцији </w:t>
      </w:r>
      <w:r w:rsidR="0072653F" w:rsidRPr="007C7563">
        <w:rPr>
          <w:rStyle w:val="A5"/>
          <w:rFonts w:ascii="Calibri" w:hAnsi="Calibri" w:cs="Calibri"/>
          <w:color w:val="000000" w:themeColor="text1"/>
          <w:lang w:val="sr-Cyrl-RS"/>
        </w:rPr>
        <w:t xml:space="preserve"> препоруку да се </w:t>
      </w:r>
      <w:r w:rsidR="0061537F">
        <w:rPr>
          <w:rStyle w:val="A5"/>
          <w:rFonts w:ascii="Calibri" w:hAnsi="Calibri" w:cs="Calibri"/>
          <w:color w:val="000000" w:themeColor="text1"/>
          <w:lang w:val="sr-Cyrl-RS"/>
        </w:rPr>
        <w:t>Високој школи</w:t>
      </w:r>
      <w:r w:rsidR="0072653F" w:rsidRPr="007C7563">
        <w:rPr>
          <w:rStyle w:val="A5"/>
          <w:rFonts w:ascii="Calibri" w:hAnsi="Calibri" w:cs="Calibri"/>
          <w:color w:val="000000" w:themeColor="text1"/>
          <w:lang w:val="sr-Cyrl-RS"/>
        </w:rPr>
        <w:t xml:space="preserve"> и </w:t>
      </w:r>
      <w:r w:rsidR="006A7EC0">
        <w:rPr>
          <w:rStyle w:val="A5"/>
          <w:rFonts w:ascii="Calibri" w:hAnsi="Calibri" w:cs="Calibri"/>
          <w:color w:val="000000" w:themeColor="text1"/>
          <w:lang w:val="sr-Cyrl-RS"/>
        </w:rPr>
        <w:t xml:space="preserve">студијским програмима Пословна економија и Транспортно инжењерство </w:t>
      </w:r>
      <w:r w:rsidR="0072653F" w:rsidRPr="007C7563">
        <w:rPr>
          <w:rStyle w:val="A5"/>
          <w:rFonts w:ascii="Calibri" w:hAnsi="Calibri" w:cs="Calibri"/>
          <w:color w:val="000000" w:themeColor="text1"/>
          <w:lang w:val="sr-Cyrl-RS"/>
        </w:rPr>
        <w:t>изда рјешење</w:t>
      </w:r>
      <w:r w:rsidR="0061537F">
        <w:rPr>
          <w:rStyle w:val="A5"/>
          <w:rFonts w:ascii="Calibri" w:hAnsi="Calibri" w:cs="Calibri"/>
          <w:color w:val="000000" w:themeColor="text1"/>
          <w:lang w:val="sr-Cyrl-RS"/>
        </w:rPr>
        <w:t xml:space="preserve"> о</w:t>
      </w:r>
      <w:r w:rsidR="0072653F">
        <w:rPr>
          <w:rStyle w:val="A5"/>
          <w:rFonts w:ascii="Calibri" w:hAnsi="Calibri" w:cs="Calibri"/>
          <w:color w:val="000000" w:themeColor="text1"/>
          <w:lang w:val="sr-Cyrl-RS"/>
        </w:rPr>
        <w:t xml:space="preserve"> одбијању </w:t>
      </w:r>
      <w:r w:rsidR="0072653F" w:rsidRPr="007C7563">
        <w:rPr>
          <w:rStyle w:val="A5"/>
          <w:rFonts w:ascii="Calibri" w:hAnsi="Calibri" w:cs="Calibri"/>
          <w:color w:val="000000" w:themeColor="text1"/>
          <w:lang w:val="sr-Cyrl-RS"/>
        </w:rPr>
        <w:t>акредитациј</w:t>
      </w:r>
      <w:r w:rsidR="0072653F">
        <w:rPr>
          <w:rStyle w:val="A5"/>
          <w:rFonts w:ascii="Calibri" w:hAnsi="Calibri" w:cs="Calibri"/>
          <w:color w:val="000000" w:themeColor="text1"/>
          <w:lang w:val="sr-Cyrl-RS"/>
        </w:rPr>
        <w:t xml:space="preserve">е.  </w:t>
      </w:r>
      <w:r w:rsidR="0061537F">
        <w:rPr>
          <w:rStyle w:val="A5"/>
          <w:rFonts w:ascii="Calibri" w:hAnsi="Calibri" w:cs="Calibri"/>
          <w:color w:val="000000" w:themeColor="text1"/>
          <w:lang w:val="sr-Cyrl-RS"/>
        </w:rPr>
        <w:t>Н</w:t>
      </w:r>
      <w:r w:rsidRPr="007C7563">
        <w:rPr>
          <w:rStyle w:val="A5"/>
          <w:rFonts w:ascii="Calibri" w:hAnsi="Calibri" w:cs="Calibri"/>
          <w:color w:val="000000" w:themeColor="text1"/>
          <w:lang w:val="sr-Cyrl-RS"/>
        </w:rPr>
        <w:t>а основу извјештаја Комисије стручњака, Закључка акредитацијског виј</w:t>
      </w:r>
      <w:r>
        <w:rPr>
          <w:rStyle w:val="A5"/>
          <w:rFonts w:ascii="Calibri" w:hAnsi="Calibri" w:cs="Calibri"/>
          <w:color w:val="000000" w:themeColor="text1"/>
          <w:lang w:val="sr-Cyrl-RS"/>
        </w:rPr>
        <w:t xml:space="preserve">ећа и препоруке </w:t>
      </w:r>
      <w:r w:rsidR="00511D76">
        <w:rPr>
          <w:rStyle w:val="A5"/>
          <w:rFonts w:ascii="Calibri" w:hAnsi="Calibri" w:cs="Calibri"/>
          <w:color w:val="000000" w:themeColor="text1"/>
          <w:lang w:val="sr-Cyrl-RS"/>
        </w:rPr>
        <w:t>ХЕА,</w:t>
      </w:r>
      <w:r w:rsidRPr="007C7563">
        <w:rPr>
          <w:rStyle w:val="A5"/>
          <w:rFonts w:ascii="Calibri" w:hAnsi="Calibri" w:cs="Calibri"/>
          <w:color w:val="000000" w:themeColor="text1"/>
          <w:lang w:val="sr-Cyrl-RS"/>
        </w:rPr>
        <w:t xml:space="preserve"> </w:t>
      </w:r>
      <w:r w:rsidR="006A7EC0">
        <w:rPr>
          <w:rStyle w:val="A5"/>
          <w:rFonts w:ascii="Calibri" w:hAnsi="Calibri" w:cs="Calibri"/>
          <w:color w:val="000000" w:themeColor="text1"/>
          <w:lang w:val="sr-Cyrl-RS"/>
        </w:rPr>
        <w:t>Агенција је у ју</w:t>
      </w:r>
      <w:r w:rsidR="006A633E">
        <w:rPr>
          <w:rStyle w:val="A5"/>
          <w:rFonts w:ascii="Calibri" w:hAnsi="Calibri" w:cs="Calibri"/>
          <w:color w:val="000000" w:themeColor="text1"/>
          <w:lang w:val="sr-Cyrl-RS"/>
        </w:rPr>
        <w:t>н</w:t>
      </w:r>
      <w:r w:rsidR="006A7EC0">
        <w:rPr>
          <w:rStyle w:val="A5"/>
          <w:rFonts w:ascii="Calibri" w:hAnsi="Calibri" w:cs="Calibri"/>
          <w:color w:val="000000" w:themeColor="text1"/>
          <w:lang w:val="sr-Cyrl-RS"/>
        </w:rPr>
        <w:t xml:space="preserve">у 2024. године </w:t>
      </w:r>
      <w:r w:rsidRPr="007C7563">
        <w:rPr>
          <w:rStyle w:val="A5"/>
          <w:rFonts w:ascii="Calibri" w:hAnsi="Calibri" w:cs="Calibri"/>
          <w:color w:val="000000" w:themeColor="text1"/>
          <w:lang w:val="sr-Cyrl-RS"/>
        </w:rPr>
        <w:t xml:space="preserve">донијела рјешење о одбијању захтјева за акредитацију </w:t>
      </w:r>
      <w:r w:rsidR="006A7EC0">
        <w:rPr>
          <w:rStyle w:val="A5"/>
          <w:rFonts w:ascii="Calibri" w:hAnsi="Calibri" w:cs="Calibri"/>
          <w:color w:val="000000" w:themeColor="text1"/>
          <w:lang w:val="sr-Cyrl-RS"/>
        </w:rPr>
        <w:t>Високе школе</w:t>
      </w:r>
      <w:r w:rsidRPr="007C7563">
        <w:rPr>
          <w:rStyle w:val="A5"/>
          <w:rFonts w:ascii="Calibri" w:hAnsi="Calibri" w:cs="Calibri"/>
          <w:color w:val="000000" w:themeColor="text1"/>
          <w:lang w:val="sr-Cyrl-RS"/>
        </w:rPr>
        <w:t xml:space="preserve"> и студијских програма</w:t>
      </w:r>
      <w:r w:rsidR="006A7EC0">
        <w:rPr>
          <w:rStyle w:val="A5"/>
          <w:rFonts w:ascii="Calibri" w:hAnsi="Calibri" w:cs="Calibri"/>
          <w:color w:val="000000" w:themeColor="text1"/>
          <w:lang w:val="sr-Cyrl-RS"/>
        </w:rPr>
        <w:t xml:space="preserve"> Пословна економија и Транспортно инжењерство.</w:t>
      </w:r>
      <w:r w:rsidR="00D52931">
        <w:rPr>
          <w:rStyle w:val="A5"/>
          <w:rFonts w:ascii="Calibri" w:hAnsi="Calibri" w:cs="Calibri"/>
          <w:color w:val="000000" w:themeColor="text1"/>
          <w:lang w:val="sr-Cyrl-RS"/>
        </w:rPr>
        <w:t xml:space="preserve"> Висока школа је изјавила жалбу Управном одбору на рјешење о одбијању акредитације која је одбијена као неоснована на сједници Управног одбора </w:t>
      </w:r>
      <w:r w:rsidR="00511D76">
        <w:rPr>
          <w:rStyle w:val="A5"/>
          <w:rFonts w:ascii="Calibri" w:hAnsi="Calibri" w:cs="Calibri"/>
          <w:color w:val="000000" w:themeColor="text1"/>
          <w:lang w:val="sr-Cyrl-RS"/>
        </w:rPr>
        <w:t xml:space="preserve">одржаној </w:t>
      </w:r>
      <w:r w:rsidR="00D52931">
        <w:rPr>
          <w:rStyle w:val="A5"/>
          <w:rFonts w:ascii="Calibri" w:hAnsi="Calibri" w:cs="Calibri"/>
          <w:color w:val="000000" w:themeColor="text1"/>
          <w:lang w:val="sr-Cyrl-RS"/>
        </w:rPr>
        <w:t>у септембру 2024. године. Након покретања тужбе против акта Управног одбора, пресудом О</w:t>
      </w:r>
      <w:r w:rsidR="00511D76">
        <w:rPr>
          <w:rStyle w:val="A5"/>
          <w:rFonts w:ascii="Calibri" w:hAnsi="Calibri" w:cs="Calibri"/>
          <w:color w:val="000000" w:themeColor="text1"/>
          <w:lang w:val="sr-Cyrl-RS"/>
        </w:rPr>
        <w:t xml:space="preserve">кружног суда Бања Лука </w:t>
      </w:r>
      <w:r w:rsidR="00E44D55">
        <w:rPr>
          <w:rStyle w:val="A5"/>
          <w:rFonts w:ascii="Calibri" w:hAnsi="Calibri" w:cs="Calibri"/>
          <w:color w:val="000000" w:themeColor="text1"/>
          <w:lang w:val="sr-Cyrl-RS"/>
        </w:rPr>
        <w:t>тужба Ви</w:t>
      </w:r>
      <w:r w:rsidR="00D52931">
        <w:rPr>
          <w:rStyle w:val="A5"/>
          <w:rFonts w:ascii="Calibri" w:hAnsi="Calibri" w:cs="Calibri"/>
          <w:color w:val="000000" w:themeColor="text1"/>
          <w:lang w:val="sr-Cyrl-RS"/>
        </w:rPr>
        <w:t xml:space="preserve">соке </w:t>
      </w:r>
      <w:r w:rsidR="00E44D55">
        <w:rPr>
          <w:rStyle w:val="A5"/>
          <w:rFonts w:ascii="Calibri" w:hAnsi="Calibri" w:cs="Calibri"/>
          <w:color w:val="000000" w:themeColor="text1"/>
          <w:lang w:val="sr-Cyrl-RS"/>
        </w:rPr>
        <w:t>школе је одбијена као неоснована.</w:t>
      </w:r>
      <w:r w:rsidR="00404F46" w:rsidRPr="00404F46">
        <w:rPr>
          <w:rStyle w:val="A5"/>
          <w:rFonts w:ascii="Calibri" w:hAnsi="Calibri" w:cs="Calibri"/>
          <w:color w:val="auto"/>
          <w:lang w:val="sr-Cyrl-BA"/>
        </w:rPr>
        <w:t xml:space="preserve"> Против </w:t>
      </w:r>
      <w:r w:rsidR="00404F46" w:rsidRPr="00404F46">
        <w:rPr>
          <w:rStyle w:val="A5"/>
          <w:rFonts w:ascii="Calibri" w:hAnsi="Calibri" w:cs="Calibri"/>
          <w:color w:val="000000" w:themeColor="text1"/>
          <w:lang w:val="sr-Cyrl-RS"/>
        </w:rPr>
        <w:t>Високе школе за примијењене и правне науке „Прометеј“</w:t>
      </w:r>
      <w:r w:rsidR="00404F46">
        <w:rPr>
          <w:rStyle w:val="A5"/>
          <w:rFonts w:ascii="Calibri" w:hAnsi="Calibri" w:cs="Calibri"/>
          <w:color w:val="000000" w:themeColor="text1"/>
          <w:lang w:val="sr-Cyrl-RS"/>
        </w:rPr>
        <w:t xml:space="preserve"> </w:t>
      </w:r>
      <w:r w:rsidR="00404F46">
        <w:rPr>
          <w:rStyle w:val="A5"/>
          <w:rFonts w:ascii="Calibri" w:hAnsi="Calibri" w:cs="Calibri"/>
          <w:color w:val="auto"/>
          <w:lang w:val="sr-Cyrl-BA"/>
        </w:rPr>
        <w:t xml:space="preserve"> </w:t>
      </w:r>
      <w:r w:rsidR="00404F46" w:rsidRPr="00404F46">
        <w:rPr>
          <w:rStyle w:val="A5"/>
          <w:rFonts w:ascii="Calibri" w:hAnsi="Calibri" w:cs="Calibri"/>
          <w:color w:val="auto"/>
          <w:lang w:val="sr-Cyrl-BA"/>
        </w:rPr>
        <w:t xml:space="preserve">и одговорних лица на </w:t>
      </w:r>
      <w:r w:rsidR="00404F46">
        <w:rPr>
          <w:rStyle w:val="A5"/>
          <w:rFonts w:ascii="Calibri" w:hAnsi="Calibri" w:cs="Calibri"/>
          <w:color w:val="auto"/>
          <w:lang w:val="sr-Cyrl-BA"/>
        </w:rPr>
        <w:t>Високој школи</w:t>
      </w:r>
      <w:r w:rsidR="00404F46" w:rsidRPr="00404F46">
        <w:rPr>
          <w:rStyle w:val="A5"/>
          <w:rFonts w:ascii="Calibri" w:hAnsi="Calibri" w:cs="Calibri"/>
          <w:color w:val="auto"/>
          <w:lang w:val="sr-Cyrl-BA"/>
        </w:rPr>
        <w:t xml:space="preserve">, те других правних и физичких лица, подигнута је оптужница Тужилаштва Босне и Херцеговине број </w:t>
      </w:r>
      <w:r w:rsidR="00404F46" w:rsidRPr="00404F46">
        <w:rPr>
          <w:rStyle w:val="A5"/>
          <w:rFonts w:ascii="Calibri" w:hAnsi="Calibri" w:cs="Calibri"/>
          <w:color w:val="000000" w:themeColor="text1"/>
          <w:lang w:val="sr-Cyrl-RS"/>
        </w:rPr>
        <w:t>T20 0 KTOV 0019583 21 од 3.7.2024. године што су се удружили у извршењу кривичних дјела Недопуштена трговина из члана 212. став 1. КЗ БиХ,  кривичних дјела Злоупотреба службеног положаја или овлашћења из члана 315. КЗ РС, те кривичних дјела Фалсификовања или уништавања службене исправе из члана 349. КЗ РС.</w:t>
      </w:r>
    </w:p>
    <w:p w:rsidR="004B433A" w:rsidRDefault="00637F6E" w:rsidP="00637F6E">
      <w:pPr>
        <w:spacing w:line="276" w:lineRule="auto"/>
        <w:jc w:val="both"/>
        <w:rPr>
          <w:rStyle w:val="A5"/>
          <w:rFonts w:ascii="Calibri" w:hAnsi="Calibri" w:cs="Calibri"/>
          <w:color w:val="000000" w:themeColor="text1"/>
          <w:lang w:val="sr-Cyrl-RS"/>
        </w:rPr>
      </w:pPr>
      <w:r>
        <w:rPr>
          <w:rStyle w:val="A5"/>
          <w:rFonts w:ascii="Calibri" w:hAnsi="Calibri" w:cs="Calibri"/>
          <w:b/>
          <w:color w:val="000000" w:themeColor="text1"/>
          <w:lang w:val="sr-Cyrl-RS"/>
        </w:rPr>
        <w:t>Високо</w:t>
      </w:r>
      <w:r w:rsidR="009A5DAD">
        <w:rPr>
          <w:rStyle w:val="A5"/>
          <w:rFonts w:ascii="Calibri" w:hAnsi="Calibri" w:cs="Calibri"/>
          <w:b/>
          <w:color w:val="000000" w:themeColor="text1"/>
          <w:lang w:val="sr-Cyrl-RS"/>
        </w:rPr>
        <w:t>ј</w:t>
      </w:r>
      <w:r>
        <w:rPr>
          <w:rStyle w:val="A5"/>
          <w:rFonts w:ascii="Calibri" w:hAnsi="Calibri" w:cs="Calibri"/>
          <w:b/>
          <w:color w:val="000000" w:themeColor="text1"/>
          <w:lang w:val="sr-Cyrl-RS"/>
        </w:rPr>
        <w:t xml:space="preserve">  пословно техничкој школи</w:t>
      </w:r>
      <w:r w:rsidRPr="002C2D86">
        <w:rPr>
          <w:rStyle w:val="A5"/>
          <w:rFonts w:ascii="Calibri" w:hAnsi="Calibri" w:cs="Calibri"/>
          <w:b/>
          <w:color w:val="000000" w:themeColor="text1"/>
          <w:lang w:val="sr-Cyrl-RS"/>
        </w:rPr>
        <w:t xml:space="preserve"> Добој</w:t>
      </w:r>
      <w:r>
        <w:rPr>
          <w:rStyle w:val="A5"/>
          <w:rFonts w:ascii="Calibri" w:hAnsi="Calibri" w:cs="Calibri"/>
          <w:b/>
          <w:color w:val="000000" w:themeColor="text1"/>
          <w:lang w:val="sr-Cyrl-RS"/>
        </w:rPr>
        <w:t xml:space="preserve"> </w:t>
      </w:r>
      <w:r w:rsidRPr="002C2D86">
        <w:rPr>
          <w:rStyle w:val="A5"/>
          <w:rFonts w:ascii="Calibri" w:hAnsi="Calibri" w:cs="Calibri"/>
          <w:color w:val="000000" w:themeColor="text1"/>
          <w:lang w:val="sr-Cyrl-RS"/>
        </w:rPr>
        <w:t>је</w:t>
      </w:r>
      <w:r w:rsidR="009A5DAD">
        <w:rPr>
          <w:rStyle w:val="A5"/>
          <w:rFonts w:ascii="Calibri" w:hAnsi="Calibri" w:cs="Calibri"/>
          <w:color w:val="000000" w:themeColor="text1"/>
          <w:lang w:val="sr-Cyrl-RS"/>
        </w:rPr>
        <w:t xml:space="preserve">, на основу препоруке Комисије стручњака </w:t>
      </w:r>
      <w:r w:rsidRPr="002C2D86">
        <w:rPr>
          <w:rStyle w:val="A5"/>
          <w:rFonts w:ascii="Calibri" w:hAnsi="Calibri" w:cs="Calibri"/>
          <w:color w:val="000000" w:themeColor="text1"/>
          <w:lang w:val="sr-Cyrl-RS"/>
        </w:rPr>
        <w:t xml:space="preserve"> </w:t>
      </w:r>
      <w:r w:rsidR="009A5DAD" w:rsidRPr="007C7563">
        <w:rPr>
          <w:rStyle w:val="A5"/>
          <w:rFonts w:ascii="Calibri" w:hAnsi="Calibri" w:cs="Calibri"/>
          <w:color w:val="000000" w:themeColor="text1"/>
          <w:lang w:val="sr-Cyrl-RS"/>
        </w:rPr>
        <w:t>за вањско вредновање високошколске установе и студијских програма</w:t>
      </w:r>
      <w:r w:rsidR="009A5DAD">
        <w:rPr>
          <w:rStyle w:val="A5"/>
          <w:rFonts w:ascii="Calibri" w:hAnsi="Calibri" w:cs="Calibri"/>
          <w:color w:val="000000" w:themeColor="text1"/>
          <w:lang w:val="sr-Cyrl-RS"/>
        </w:rPr>
        <w:t xml:space="preserve">, </w:t>
      </w:r>
      <w:r>
        <w:rPr>
          <w:rStyle w:val="A5"/>
          <w:rFonts w:ascii="Calibri" w:hAnsi="Calibri" w:cs="Calibri"/>
          <w:color w:val="000000" w:themeColor="text1"/>
          <w:lang w:val="sr-Cyrl-RS"/>
        </w:rPr>
        <w:t>у августу 2024. године и</w:t>
      </w:r>
      <w:r w:rsidRPr="002C2D86">
        <w:rPr>
          <w:rStyle w:val="A5"/>
          <w:rFonts w:ascii="Calibri" w:hAnsi="Calibri" w:cs="Calibri"/>
          <w:color w:val="000000" w:themeColor="text1"/>
          <w:lang w:val="sr-Cyrl-RS"/>
        </w:rPr>
        <w:t>здато</w:t>
      </w:r>
      <w:r>
        <w:rPr>
          <w:rStyle w:val="A5"/>
          <w:rFonts w:ascii="Calibri" w:hAnsi="Calibri" w:cs="Calibri"/>
          <w:color w:val="000000" w:themeColor="text1"/>
          <w:lang w:val="sr-Cyrl-RS"/>
        </w:rPr>
        <w:t xml:space="preserve"> писмо очекивања и за </w:t>
      </w:r>
      <w:r w:rsidRPr="002C2D86">
        <w:rPr>
          <w:rStyle w:val="A5"/>
          <w:rFonts w:ascii="Calibri" w:hAnsi="Calibri" w:cs="Calibri"/>
          <w:color w:val="000000" w:themeColor="text1"/>
          <w:lang w:val="sr-Cyrl-RS"/>
        </w:rPr>
        <w:t>установу и за студијски програм</w:t>
      </w:r>
      <w:r w:rsidR="009A5DAD">
        <w:rPr>
          <w:rStyle w:val="A5"/>
          <w:rFonts w:ascii="Calibri" w:hAnsi="Calibri" w:cs="Calibri"/>
          <w:color w:val="000000" w:themeColor="text1"/>
          <w:lang w:val="sr-Cyrl-RS"/>
        </w:rPr>
        <w:t xml:space="preserve"> Пословна економија</w:t>
      </w:r>
      <w:r w:rsidRPr="002C2D86">
        <w:rPr>
          <w:rStyle w:val="A5"/>
          <w:rFonts w:ascii="Calibri" w:hAnsi="Calibri" w:cs="Calibri"/>
          <w:color w:val="000000" w:themeColor="text1"/>
          <w:lang w:val="sr-Cyrl-RS"/>
        </w:rPr>
        <w:t xml:space="preserve">. </w:t>
      </w:r>
      <w:r w:rsidR="009A5DAD">
        <w:rPr>
          <w:rStyle w:val="A5"/>
          <w:rFonts w:ascii="Calibri" w:hAnsi="Calibri" w:cs="Calibri"/>
          <w:color w:val="000000" w:themeColor="text1"/>
          <w:lang w:val="sr-Cyrl-RS"/>
        </w:rPr>
        <w:t xml:space="preserve">Установа је припремила </w:t>
      </w:r>
      <w:r>
        <w:rPr>
          <w:rStyle w:val="A5"/>
          <w:rFonts w:ascii="Calibri" w:hAnsi="Calibri" w:cs="Calibri"/>
          <w:color w:val="000000" w:themeColor="text1"/>
          <w:lang w:val="sr-Cyrl-RS"/>
        </w:rPr>
        <w:t>план мјера за реализацију препорука Комисије стручњака</w:t>
      </w:r>
      <w:r w:rsidR="009A5DAD">
        <w:rPr>
          <w:rStyle w:val="A5"/>
          <w:rFonts w:ascii="Calibri" w:hAnsi="Calibri" w:cs="Calibri"/>
          <w:color w:val="000000" w:themeColor="text1"/>
          <w:lang w:val="sr-Cyrl-RS"/>
        </w:rPr>
        <w:t xml:space="preserve"> и исти доставила Агенцији. </w:t>
      </w:r>
    </w:p>
    <w:p w:rsidR="00637F6E" w:rsidRPr="00D06928" w:rsidRDefault="00637F6E" w:rsidP="00637F6E">
      <w:pPr>
        <w:spacing w:line="276" w:lineRule="auto"/>
        <w:jc w:val="both"/>
        <w:rPr>
          <w:rFonts w:ascii="Calibri" w:hAnsi="Calibri" w:cs="Calibri"/>
          <w:color w:val="000000"/>
          <w:sz w:val="22"/>
          <w:szCs w:val="22"/>
          <w:lang w:val="sr-Cyrl-BA"/>
        </w:rPr>
      </w:pPr>
      <w:r w:rsidRPr="002C2D86">
        <w:rPr>
          <w:rStyle w:val="A5"/>
          <w:rFonts w:ascii="Calibri" w:hAnsi="Calibri" w:cs="Calibri"/>
          <w:color w:val="000000" w:themeColor="text1"/>
          <w:lang w:val="sr-Cyrl-RS"/>
        </w:rPr>
        <w:tab/>
      </w:r>
    </w:p>
    <w:p w:rsidR="00FF77AB" w:rsidRPr="00FF77AB" w:rsidRDefault="00FF77AB" w:rsidP="00FF77AB"/>
    <w:p w:rsidR="00637F6E" w:rsidRPr="00B23B31" w:rsidRDefault="00637F6E" w:rsidP="00637F6E">
      <w:pPr>
        <w:pStyle w:val="a1"/>
        <w:numPr>
          <w:ilvl w:val="2"/>
          <w:numId w:val="8"/>
        </w:numPr>
        <w:rPr>
          <w:rFonts w:cstheme="minorHAnsi"/>
          <w:color w:val="323E4F" w:themeColor="text2" w:themeShade="BF"/>
        </w:rPr>
      </w:pPr>
      <w:r w:rsidRPr="00B23B31">
        <w:rPr>
          <w:rFonts w:asciiTheme="minorHAnsi" w:hAnsiTheme="minorHAnsi" w:cstheme="minorHAnsi"/>
          <w:color w:val="323E4F" w:themeColor="text2" w:themeShade="BF"/>
        </w:rPr>
        <w:t>Издавање рјешења о акредитацији и писама очекивања</w:t>
      </w:r>
      <w:r w:rsidRPr="00B23B31">
        <w:rPr>
          <w:rFonts w:asciiTheme="minorHAnsi" w:hAnsiTheme="minorHAnsi" w:cstheme="minorHAnsi"/>
          <w:color w:val="323E4F" w:themeColor="text2" w:themeShade="BF"/>
          <w:lang w:val="sr-Latn-BA"/>
        </w:rPr>
        <w:t xml:space="preserve"> </w:t>
      </w:r>
    </w:p>
    <w:p w:rsidR="00637F6E" w:rsidRPr="005B2907" w:rsidRDefault="00637F6E" w:rsidP="00637F6E"/>
    <w:p w:rsidR="00637F6E" w:rsidRPr="004262FF" w:rsidRDefault="00637F6E" w:rsidP="004262FF">
      <w:pPr>
        <w:spacing w:after="240" w:line="276" w:lineRule="auto"/>
        <w:jc w:val="both"/>
        <w:rPr>
          <w:rFonts w:eastAsia="Calibri" w:cstheme="minorHAnsi"/>
          <w:sz w:val="22"/>
          <w:szCs w:val="22"/>
          <w:lang w:val="sr-Cyrl-RS"/>
        </w:rPr>
      </w:pPr>
      <w:r w:rsidRPr="00763089">
        <w:rPr>
          <w:rFonts w:eastAsia="Calibri" w:cstheme="minorHAnsi"/>
          <w:sz w:val="22"/>
          <w:szCs w:val="22"/>
          <w:lang w:val="sr-Cyrl-RS"/>
        </w:rPr>
        <w:t>Агенц</w:t>
      </w:r>
      <w:r>
        <w:rPr>
          <w:rFonts w:eastAsia="Calibri" w:cstheme="minorHAnsi"/>
          <w:sz w:val="22"/>
          <w:szCs w:val="22"/>
          <w:lang w:val="sr-Cyrl-RS"/>
        </w:rPr>
        <w:t>ија је у складу са препорукама Комисије</w:t>
      </w:r>
      <w:r w:rsidRPr="00763089">
        <w:rPr>
          <w:rFonts w:eastAsia="Calibri" w:cstheme="minorHAnsi"/>
          <w:sz w:val="22"/>
          <w:szCs w:val="22"/>
          <w:lang w:val="sr-Cyrl-RS"/>
        </w:rPr>
        <w:t xml:space="preserve"> стручњака, закључцима Акредитацијског вијећа</w:t>
      </w:r>
      <w:r w:rsidR="00801D62">
        <w:rPr>
          <w:rFonts w:eastAsia="Calibri" w:cstheme="minorHAnsi"/>
          <w:sz w:val="22"/>
          <w:szCs w:val="22"/>
          <w:lang w:val="sr-Cyrl-RS"/>
        </w:rPr>
        <w:t xml:space="preserve"> и препорукама ХЕА, </w:t>
      </w:r>
      <w:r w:rsidRPr="00763089">
        <w:rPr>
          <w:rFonts w:eastAsia="Calibri" w:cstheme="minorHAnsi"/>
          <w:sz w:val="22"/>
          <w:szCs w:val="22"/>
          <w:lang w:val="sr-Cyrl-RS"/>
        </w:rPr>
        <w:t xml:space="preserve">донијела </w:t>
      </w:r>
      <w:r>
        <w:rPr>
          <w:rFonts w:eastAsia="Calibri" w:cstheme="minorHAnsi"/>
          <w:sz w:val="22"/>
          <w:szCs w:val="22"/>
          <w:lang w:val="sr-Cyrl-RS"/>
        </w:rPr>
        <w:t xml:space="preserve">два </w:t>
      </w:r>
      <w:r w:rsidRPr="00763089">
        <w:rPr>
          <w:rFonts w:eastAsia="Calibri" w:cstheme="minorHAnsi"/>
          <w:sz w:val="22"/>
          <w:szCs w:val="22"/>
          <w:lang w:val="sr-Cyrl-RS"/>
        </w:rPr>
        <w:t xml:space="preserve">рјешења о акредитацији </w:t>
      </w:r>
      <w:r>
        <w:rPr>
          <w:rFonts w:eastAsia="Calibri" w:cstheme="minorHAnsi"/>
          <w:sz w:val="22"/>
          <w:szCs w:val="22"/>
          <w:lang w:val="sr-Cyrl-RS"/>
        </w:rPr>
        <w:t>установа/</w:t>
      </w:r>
      <w:r w:rsidRPr="00763089">
        <w:rPr>
          <w:rFonts w:eastAsia="Calibri" w:cstheme="minorHAnsi"/>
          <w:sz w:val="22"/>
          <w:szCs w:val="22"/>
          <w:lang w:val="sr-Cyrl-RS"/>
        </w:rPr>
        <w:t xml:space="preserve">студијских програма и то за: </w:t>
      </w:r>
    </w:p>
    <w:p w:rsidR="00637F6E" w:rsidRPr="003C530B" w:rsidRDefault="00637F6E" w:rsidP="00637F6E">
      <w:pPr>
        <w:pStyle w:val="ListParagraph"/>
        <w:numPr>
          <w:ilvl w:val="0"/>
          <w:numId w:val="23"/>
        </w:numPr>
        <w:ind w:hanging="294"/>
        <w:jc w:val="both"/>
        <w:rPr>
          <w:rFonts w:eastAsia="Calibri" w:cstheme="minorHAnsi"/>
          <w:lang w:val="sr-Latn-RS"/>
        </w:rPr>
      </w:pPr>
      <w:r>
        <w:rPr>
          <w:rFonts w:eastAsia="Calibri" w:cstheme="minorHAnsi"/>
          <w:lang w:val="sr-Cyrl-RS"/>
        </w:rPr>
        <w:t>Универзитет</w:t>
      </w:r>
      <w:r w:rsidRPr="00352594">
        <w:rPr>
          <w:rFonts w:eastAsia="Calibri" w:cstheme="minorHAnsi"/>
          <w:lang w:val="sr-Cyrl-RS"/>
        </w:rPr>
        <w:t xml:space="preserve"> у Бањој Луци</w:t>
      </w:r>
      <w:r>
        <w:rPr>
          <w:rFonts w:eastAsia="Calibri" w:cstheme="minorHAnsi"/>
          <w:lang w:val="sr-Cyrl-RS"/>
        </w:rPr>
        <w:t xml:space="preserve"> (</w:t>
      </w:r>
      <w:r w:rsidRPr="00352594">
        <w:rPr>
          <w:rFonts w:eastAsia="Calibri" w:cstheme="minorHAnsi"/>
          <w:lang w:val="sr-Cyrl-RS"/>
        </w:rPr>
        <w:t>рјешење о акредитацији високошколске установе</w:t>
      </w:r>
      <w:r>
        <w:rPr>
          <w:rFonts w:eastAsia="Calibri" w:cstheme="minorHAnsi"/>
          <w:lang w:val="sr-Cyrl-RS"/>
        </w:rPr>
        <w:t xml:space="preserve"> из јула 2024. године) и</w:t>
      </w:r>
    </w:p>
    <w:p w:rsidR="00637F6E" w:rsidRPr="001218D2" w:rsidRDefault="00637F6E" w:rsidP="00801D62">
      <w:pPr>
        <w:pStyle w:val="ListParagraph"/>
        <w:numPr>
          <w:ilvl w:val="0"/>
          <w:numId w:val="23"/>
        </w:numPr>
        <w:jc w:val="both"/>
        <w:rPr>
          <w:rFonts w:eastAsia="Times New Roman" w:cs="Open Sans"/>
          <w:lang w:val="sr-Cyrl-RS" w:eastAsia="en-GB"/>
        </w:rPr>
      </w:pPr>
      <w:r w:rsidRPr="001218D2">
        <w:rPr>
          <w:rFonts w:eastAsia="Times New Roman" w:cs="Open Sans"/>
          <w:lang w:val="sr-Cyrl-RS" w:eastAsia="en-GB"/>
        </w:rPr>
        <w:t>Висока школа за туризам и хотелијерство Требиње (рјешење о акредитацији високошколске установе и два студијска програма из ју</w:t>
      </w:r>
      <w:r w:rsidR="00801D62">
        <w:rPr>
          <w:rFonts w:eastAsia="Times New Roman" w:cs="Open Sans"/>
          <w:lang w:val="sr-Cyrl-RS" w:eastAsia="en-GB"/>
        </w:rPr>
        <w:t>н</w:t>
      </w:r>
      <w:r w:rsidRPr="001218D2">
        <w:rPr>
          <w:rFonts w:eastAsia="Times New Roman" w:cs="Open Sans"/>
          <w:lang w:val="sr-Cyrl-RS" w:eastAsia="en-GB"/>
        </w:rPr>
        <w:t xml:space="preserve">а 2024. године). </w:t>
      </w:r>
    </w:p>
    <w:p w:rsidR="00637F6E" w:rsidRPr="004262FF" w:rsidRDefault="00637F6E" w:rsidP="004262FF">
      <w:pPr>
        <w:spacing w:after="240" w:line="276" w:lineRule="auto"/>
        <w:jc w:val="both"/>
        <w:rPr>
          <w:rFonts w:eastAsia="Times New Roman" w:cs="Open Sans"/>
          <w:sz w:val="22"/>
          <w:szCs w:val="22"/>
          <w:lang w:val="sr-Cyrl-RS" w:eastAsia="en-GB"/>
        </w:rPr>
      </w:pPr>
      <w:r w:rsidRPr="00801D62">
        <w:rPr>
          <w:rFonts w:eastAsia="Times New Roman" w:cs="Open Sans"/>
          <w:sz w:val="22"/>
          <w:szCs w:val="22"/>
          <w:lang w:val="sr-Cyrl-RS" w:eastAsia="en-GB"/>
        </w:rPr>
        <w:t>Донесена су писма</w:t>
      </w:r>
      <w:r w:rsidR="004262FF">
        <w:rPr>
          <w:rFonts w:eastAsia="Times New Roman" w:cs="Open Sans"/>
          <w:sz w:val="22"/>
          <w:szCs w:val="22"/>
          <w:lang w:val="sr-Cyrl-RS" w:eastAsia="en-GB"/>
        </w:rPr>
        <w:t xml:space="preserve"> очекивања за сљедеће установе:</w:t>
      </w:r>
    </w:p>
    <w:p w:rsidR="00637F6E" w:rsidRPr="00801D62" w:rsidRDefault="00637F6E" w:rsidP="00801D62">
      <w:pPr>
        <w:pStyle w:val="ListParagraph"/>
        <w:numPr>
          <w:ilvl w:val="0"/>
          <w:numId w:val="24"/>
        </w:numPr>
        <w:jc w:val="both"/>
        <w:rPr>
          <w:rFonts w:eastAsia="Times New Roman" w:cs="Open Sans"/>
          <w:lang w:val="sr-Cyrl-RS" w:eastAsia="en-GB"/>
        </w:rPr>
      </w:pPr>
      <w:r w:rsidRPr="001218D2">
        <w:rPr>
          <w:rFonts w:eastAsia="Times New Roman" w:cs="Open Sans"/>
          <w:lang w:val="sr-Cyrl-RS" w:eastAsia="en-GB"/>
        </w:rPr>
        <w:t>Висок</w:t>
      </w:r>
      <w:r>
        <w:rPr>
          <w:rFonts w:eastAsia="Times New Roman" w:cs="Open Sans"/>
          <w:lang w:val="sr-Cyrl-RS" w:eastAsia="en-GB"/>
        </w:rPr>
        <w:t>а пословно техничка школа</w:t>
      </w:r>
      <w:r w:rsidRPr="001218D2">
        <w:rPr>
          <w:rFonts w:eastAsia="Times New Roman" w:cs="Open Sans"/>
          <w:lang w:val="sr-Cyrl-RS" w:eastAsia="en-GB"/>
        </w:rPr>
        <w:t xml:space="preserve"> Добој (писмо очекивања </w:t>
      </w:r>
      <w:r w:rsidR="006A633E">
        <w:rPr>
          <w:rFonts w:eastAsia="Times New Roman" w:cs="Open Sans"/>
          <w:lang w:val="sr-Cyrl-RS" w:eastAsia="en-GB"/>
        </w:rPr>
        <w:t xml:space="preserve">за високошколску установу и </w:t>
      </w:r>
      <w:r w:rsidRPr="001218D2">
        <w:rPr>
          <w:rFonts w:eastAsia="Times New Roman" w:cs="Open Sans"/>
          <w:lang w:val="sr-Cyrl-RS" w:eastAsia="en-GB"/>
        </w:rPr>
        <w:t xml:space="preserve"> </w:t>
      </w:r>
      <w:r w:rsidR="006A633E">
        <w:rPr>
          <w:rFonts w:eastAsia="Times New Roman" w:cs="Open Sans"/>
          <w:lang w:val="sr-Cyrl-RS" w:eastAsia="en-GB"/>
        </w:rPr>
        <w:t xml:space="preserve"> један</w:t>
      </w:r>
      <w:r w:rsidRPr="001218D2">
        <w:rPr>
          <w:rFonts w:eastAsia="Times New Roman" w:cs="Open Sans"/>
          <w:lang w:val="sr-Cyrl-RS" w:eastAsia="en-GB"/>
        </w:rPr>
        <w:t xml:space="preserve"> студијски програм</w:t>
      </w:r>
      <w:r w:rsidR="00511D76">
        <w:rPr>
          <w:rFonts w:eastAsia="Times New Roman" w:cs="Open Sans"/>
          <w:lang w:val="sr-Cyrl-RS" w:eastAsia="en-GB"/>
        </w:rPr>
        <w:t xml:space="preserve"> у </w:t>
      </w:r>
      <w:r w:rsidR="006A633E">
        <w:rPr>
          <w:rFonts w:eastAsia="Times New Roman" w:cs="Open Sans"/>
          <w:lang w:val="sr-Cyrl-RS" w:eastAsia="en-GB"/>
        </w:rPr>
        <w:t xml:space="preserve"> августу 2024. године</w:t>
      </w:r>
      <w:r w:rsidRPr="001218D2">
        <w:rPr>
          <w:rFonts w:eastAsia="Times New Roman" w:cs="Open Sans"/>
          <w:lang w:val="sr-Cyrl-RS" w:eastAsia="en-GB"/>
        </w:rPr>
        <w:t>) и</w:t>
      </w:r>
    </w:p>
    <w:p w:rsidR="00637F6E" w:rsidRPr="001218D2" w:rsidRDefault="00637F6E" w:rsidP="006A633E">
      <w:pPr>
        <w:pStyle w:val="ListParagraph"/>
        <w:numPr>
          <w:ilvl w:val="0"/>
          <w:numId w:val="24"/>
        </w:numPr>
        <w:jc w:val="both"/>
        <w:rPr>
          <w:rFonts w:eastAsia="Times New Roman" w:cs="Open Sans"/>
          <w:lang w:val="sr-Cyrl-RS" w:eastAsia="en-GB"/>
        </w:rPr>
      </w:pPr>
      <w:r w:rsidRPr="001218D2">
        <w:rPr>
          <w:rFonts w:eastAsia="Times New Roman" w:cs="Open Sans"/>
          <w:lang w:val="sr-Cyrl-RS" w:eastAsia="en-GB"/>
        </w:rPr>
        <w:t>Висока школа за еко</w:t>
      </w:r>
      <w:r w:rsidR="00511D76">
        <w:rPr>
          <w:rFonts w:eastAsia="Times New Roman" w:cs="Open Sans"/>
          <w:lang w:val="sr-Cyrl-RS" w:eastAsia="en-GB"/>
        </w:rPr>
        <w:t xml:space="preserve">номију и информатику Приједор </w:t>
      </w:r>
      <w:r w:rsidRPr="001218D2">
        <w:rPr>
          <w:rFonts w:eastAsia="Times New Roman" w:cs="Open Sans"/>
          <w:lang w:val="sr-Cyrl-RS" w:eastAsia="en-GB"/>
        </w:rPr>
        <w:t>(</w:t>
      </w:r>
      <w:r w:rsidR="006A633E" w:rsidRPr="001218D2">
        <w:rPr>
          <w:rFonts w:eastAsia="Times New Roman" w:cs="Open Sans"/>
          <w:lang w:val="sr-Cyrl-RS" w:eastAsia="en-GB"/>
        </w:rPr>
        <w:t xml:space="preserve">писмо очекивања за високошколску установу и </w:t>
      </w:r>
      <w:r w:rsidR="006A633E">
        <w:rPr>
          <w:rFonts w:eastAsia="Times New Roman" w:cs="Open Sans"/>
          <w:lang w:val="sr-Cyrl-RS" w:eastAsia="en-GB"/>
        </w:rPr>
        <w:t xml:space="preserve"> један</w:t>
      </w:r>
      <w:r w:rsidR="006A633E" w:rsidRPr="001218D2">
        <w:rPr>
          <w:rFonts w:eastAsia="Times New Roman" w:cs="Open Sans"/>
          <w:lang w:val="sr-Cyrl-RS" w:eastAsia="en-GB"/>
        </w:rPr>
        <w:t xml:space="preserve"> студијски програм </w:t>
      </w:r>
      <w:r w:rsidR="006A633E">
        <w:rPr>
          <w:rFonts w:eastAsia="Times New Roman" w:cs="Open Sans"/>
          <w:lang w:val="sr-Cyrl-RS" w:eastAsia="en-GB"/>
        </w:rPr>
        <w:t>у децембру 2024. године - извршење судске пресуде</w:t>
      </w:r>
      <w:r w:rsidR="00511D76">
        <w:rPr>
          <w:rFonts w:eastAsia="Times New Roman" w:cs="Open Sans"/>
          <w:lang w:val="sr-Cyrl-RS" w:eastAsia="en-GB"/>
        </w:rPr>
        <w:t>, видјети Поглавље 3.1.2</w:t>
      </w:r>
      <w:r w:rsidRPr="001218D2">
        <w:rPr>
          <w:rFonts w:eastAsia="Times New Roman" w:cs="Open Sans"/>
          <w:lang w:val="sr-Cyrl-RS" w:eastAsia="en-GB"/>
        </w:rPr>
        <w:t>).</w:t>
      </w:r>
    </w:p>
    <w:p w:rsidR="00637F6E" w:rsidRPr="004262FF" w:rsidRDefault="00637F6E" w:rsidP="004262FF">
      <w:pPr>
        <w:spacing w:after="240" w:line="276" w:lineRule="auto"/>
        <w:jc w:val="both"/>
        <w:rPr>
          <w:rStyle w:val="A5"/>
          <w:rFonts w:ascii="Calibri" w:eastAsiaTheme="minorEastAsia" w:hAnsi="Calibri" w:cs="Calibri"/>
          <w:color w:val="auto"/>
          <w:lang w:val="sr-Cyrl-RS" w:eastAsia="bs-Latn-BA"/>
        </w:rPr>
      </w:pPr>
      <w:r>
        <w:rPr>
          <w:rStyle w:val="A5"/>
          <w:rFonts w:ascii="Calibri" w:eastAsiaTheme="minorEastAsia" w:hAnsi="Calibri" w:cs="Calibri"/>
          <w:color w:val="auto"/>
          <w:lang w:val="sr-Cyrl-RS" w:eastAsia="bs-Latn-BA"/>
        </w:rPr>
        <w:t xml:space="preserve">Донесено </w:t>
      </w:r>
      <w:r w:rsidR="006A633E">
        <w:rPr>
          <w:rStyle w:val="A5"/>
          <w:rFonts w:ascii="Calibri" w:eastAsiaTheme="minorEastAsia" w:hAnsi="Calibri" w:cs="Calibri"/>
          <w:color w:val="auto"/>
          <w:lang w:val="sr-Cyrl-RS" w:eastAsia="bs-Latn-BA"/>
        </w:rPr>
        <w:t>су</w:t>
      </w:r>
      <w:r>
        <w:rPr>
          <w:rStyle w:val="A5"/>
          <w:rFonts w:ascii="Calibri" w:eastAsiaTheme="minorEastAsia" w:hAnsi="Calibri" w:cs="Calibri"/>
          <w:color w:val="auto"/>
          <w:lang w:val="sr-Cyrl-RS" w:eastAsia="bs-Latn-BA"/>
        </w:rPr>
        <w:t xml:space="preserve"> и </w:t>
      </w:r>
      <w:r w:rsidR="006A633E">
        <w:rPr>
          <w:rStyle w:val="A5"/>
          <w:rFonts w:ascii="Calibri" w:eastAsiaTheme="minorEastAsia" w:hAnsi="Calibri" w:cs="Calibri"/>
          <w:color w:val="auto"/>
          <w:lang w:val="sr-Cyrl-RS" w:eastAsia="bs-Latn-BA"/>
        </w:rPr>
        <w:t xml:space="preserve">два </w:t>
      </w:r>
      <w:r>
        <w:rPr>
          <w:rStyle w:val="A5"/>
          <w:rFonts w:ascii="Calibri" w:eastAsiaTheme="minorEastAsia" w:hAnsi="Calibri" w:cs="Calibri"/>
          <w:color w:val="auto"/>
          <w:lang w:val="sr-Cyrl-RS" w:eastAsia="bs-Latn-BA"/>
        </w:rPr>
        <w:t>рјешењ</w:t>
      </w:r>
      <w:r w:rsidR="006A633E">
        <w:rPr>
          <w:rStyle w:val="A5"/>
          <w:rFonts w:ascii="Calibri" w:eastAsiaTheme="minorEastAsia" w:hAnsi="Calibri" w:cs="Calibri"/>
          <w:color w:val="auto"/>
          <w:lang w:val="sr-Cyrl-RS" w:eastAsia="bs-Latn-BA"/>
        </w:rPr>
        <w:t>а</w:t>
      </w:r>
      <w:r>
        <w:rPr>
          <w:rStyle w:val="A5"/>
          <w:rFonts w:ascii="Calibri" w:eastAsiaTheme="minorEastAsia" w:hAnsi="Calibri" w:cs="Calibri"/>
          <w:color w:val="auto"/>
          <w:lang w:val="sr-Cyrl-RS" w:eastAsia="bs-Latn-BA"/>
        </w:rPr>
        <w:t xml:space="preserve"> о одбијању </w:t>
      </w:r>
      <w:r w:rsidR="006A633E">
        <w:rPr>
          <w:rStyle w:val="A5"/>
          <w:rFonts w:ascii="Calibri" w:eastAsiaTheme="minorEastAsia" w:hAnsi="Calibri" w:cs="Calibri"/>
          <w:color w:val="auto"/>
          <w:lang w:val="sr-Cyrl-RS" w:eastAsia="bs-Latn-BA"/>
        </w:rPr>
        <w:t>акредитације</w:t>
      </w:r>
      <w:r w:rsidR="00296039">
        <w:rPr>
          <w:rStyle w:val="A5"/>
          <w:rFonts w:ascii="Calibri" w:eastAsiaTheme="minorEastAsia" w:hAnsi="Calibri" w:cs="Calibri"/>
          <w:color w:val="auto"/>
          <w:lang w:val="sr-Cyrl-RS" w:eastAsia="bs-Latn-BA"/>
        </w:rPr>
        <w:t>, и то</w:t>
      </w:r>
      <w:r w:rsidR="00296039">
        <w:rPr>
          <w:rStyle w:val="A5"/>
          <w:rFonts w:ascii="Calibri" w:eastAsiaTheme="minorEastAsia" w:hAnsi="Calibri" w:cs="Calibri"/>
          <w:color w:val="auto"/>
          <w:lang w:val="en-GB" w:eastAsia="bs-Latn-BA"/>
        </w:rPr>
        <w:t xml:space="preserve"> </w:t>
      </w:r>
      <w:r w:rsidR="00296039">
        <w:rPr>
          <w:rStyle w:val="A5"/>
          <w:rFonts w:ascii="Calibri" w:eastAsiaTheme="minorEastAsia" w:hAnsi="Calibri" w:cs="Calibri"/>
          <w:color w:val="auto"/>
          <w:lang w:val="sr-Cyrl-RS" w:eastAsia="bs-Latn-BA"/>
        </w:rPr>
        <w:t>за</w:t>
      </w:r>
      <w:r w:rsidR="006A633E">
        <w:rPr>
          <w:rStyle w:val="A5"/>
          <w:rFonts w:ascii="Calibri" w:eastAsiaTheme="minorEastAsia" w:hAnsi="Calibri" w:cs="Calibri"/>
          <w:color w:val="auto"/>
          <w:lang w:val="sr-Cyrl-RS" w:eastAsia="bs-Latn-BA"/>
        </w:rPr>
        <w:t>:</w:t>
      </w:r>
      <w:r w:rsidR="004262FF">
        <w:rPr>
          <w:rStyle w:val="A5"/>
          <w:rFonts w:ascii="Calibri" w:eastAsiaTheme="minorEastAsia" w:hAnsi="Calibri" w:cs="Calibri"/>
          <w:color w:val="auto"/>
          <w:lang w:val="sr-Cyrl-RS" w:eastAsia="bs-Latn-BA"/>
        </w:rPr>
        <w:t xml:space="preserve"> </w:t>
      </w:r>
    </w:p>
    <w:p w:rsidR="00637F6E" w:rsidRDefault="00637F6E" w:rsidP="00801D62">
      <w:pPr>
        <w:pStyle w:val="ListParagraph"/>
        <w:numPr>
          <w:ilvl w:val="0"/>
          <w:numId w:val="19"/>
        </w:numPr>
        <w:spacing w:after="0"/>
        <w:jc w:val="both"/>
        <w:rPr>
          <w:rFonts w:eastAsia="Calibri" w:cstheme="minorHAnsi"/>
          <w:lang w:val="sr-Latn-RS"/>
        </w:rPr>
      </w:pPr>
      <w:r w:rsidRPr="00E5063A">
        <w:rPr>
          <w:rFonts w:eastAsia="Calibri" w:cstheme="minorHAnsi"/>
          <w:lang w:val="sr-Cyrl-BA"/>
        </w:rPr>
        <w:t>В</w:t>
      </w:r>
      <w:r w:rsidRPr="00E5063A">
        <w:rPr>
          <w:rFonts w:eastAsia="Calibri" w:cstheme="minorHAnsi"/>
          <w:lang w:val="sr-Latn-RS"/>
        </w:rPr>
        <w:t>исоку школу за примијењене и п</w:t>
      </w:r>
      <w:r>
        <w:rPr>
          <w:rFonts w:eastAsia="Calibri" w:cstheme="minorHAnsi"/>
          <w:lang w:val="sr-Latn-RS"/>
        </w:rPr>
        <w:t xml:space="preserve">равне науке „Прометеј“ </w:t>
      </w:r>
      <w:r w:rsidR="00296039">
        <w:rPr>
          <w:rFonts w:eastAsia="Calibri" w:cstheme="minorHAnsi"/>
          <w:lang w:val="sr-Cyrl-RS"/>
        </w:rPr>
        <w:t xml:space="preserve"> </w:t>
      </w:r>
      <w:r>
        <w:rPr>
          <w:rFonts w:eastAsia="Calibri" w:cstheme="minorHAnsi"/>
          <w:lang w:val="sr-Latn-RS"/>
        </w:rPr>
        <w:t>(</w:t>
      </w:r>
      <w:r w:rsidRPr="00E5063A">
        <w:rPr>
          <w:rFonts w:eastAsia="Calibri" w:cstheme="minorHAnsi"/>
          <w:lang w:val="sr-Latn-RS"/>
        </w:rPr>
        <w:t>рјешењ</w:t>
      </w:r>
      <w:r w:rsidR="006A633E">
        <w:rPr>
          <w:rFonts w:eastAsia="Calibri" w:cstheme="minorHAnsi"/>
          <w:lang w:val="sr-Cyrl-RS"/>
        </w:rPr>
        <w:t>е</w:t>
      </w:r>
      <w:r w:rsidRPr="00E5063A">
        <w:rPr>
          <w:rFonts w:eastAsia="Calibri" w:cstheme="minorHAnsi"/>
          <w:lang w:val="sr-Latn-RS"/>
        </w:rPr>
        <w:t xml:space="preserve"> о одбијању захтјева за акредитацију високошколске установе и </w:t>
      </w:r>
      <w:r>
        <w:rPr>
          <w:rFonts w:eastAsia="Calibri" w:cstheme="minorHAnsi"/>
          <w:lang w:val="sr-Cyrl-BA"/>
        </w:rPr>
        <w:t xml:space="preserve">два </w:t>
      </w:r>
      <w:r>
        <w:rPr>
          <w:rFonts w:eastAsia="Calibri" w:cstheme="minorHAnsi"/>
          <w:lang w:val="sr-Latn-RS"/>
        </w:rPr>
        <w:t xml:space="preserve">студијска </w:t>
      </w:r>
      <w:r w:rsidRPr="00E5063A">
        <w:rPr>
          <w:rFonts w:eastAsia="Calibri" w:cstheme="minorHAnsi"/>
          <w:lang w:val="sr-Latn-RS"/>
        </w:rPr>
        <w:t>програма</w:t>
      </w:r>
      <w:r w:rsidRPr="00E5063A">
        <w:rPr>
          <w:rFonts w:eastAsia="Calibri" w:cstheme="minorHAnsi"/>
          <w:lang w:val="sr-Cyrl-BA"/>
        </w:rPr>
        <w:t xml:space="preserve"> из јуна 2024. године</w:t>
      </w:r>
      <w:r w:rsidRPr="00E5063A">
        <w:rPr>
          <w:rFonts w:eastAsia="Calibri" w:cstheme="minorHAnsi"/>
          <w:lang w:val="sr-Latn-RS"/>
        </w:rPr>
        <w:t>)</w:t>
      </w:r>
      <w:r w:rsidR="00296039">
        <w:rPr>
          <w:rFonts w:eastAsia="Calibri" w:cstheme="minorHAnsi"/>
          <w:lang w:val="sr-Cyrl-RS"/>
        </w:rPr>
        <w:t xml:space="preserve"> и</w:t>
      </w:r>
    </w:p>
    <w:p w:rsidR="00801D62" w:rsidRPr="0029036F" w:rsidRDefault="006A633E" w:rsidP="00801D62">
      <w:pPr>
        <w:pStyle w:val="ListParagraph"/>
        <w:numPr>
          <w:ilvl w:val="0"/>
          <w:numId w:val="19"/>
        </w:numPr>
        <w:spacing w:after="0"/>
        <w:jc w:val="both"/>
        <w:rPr>
          <w:rFonts w:eastAsia="Calibri" w:cstheme="minorHAnsi"/>
          <w:lang w:val="sr-Latn-RS"/>
        </w:rPr>
      </w:pPr>
      <w:r w:rsidRPr="006A633E">
        <w:rPr>
          <w:rStyle w:val="A5"/>
          <w:rFonts w:ascii="Calibri" w:hAnsi="Calibri" w:cs="Calibri"/>
          <w:color w:val="000000" w:themeColor="text1"/>
          <w:lang w:val="sr-Cyrl-RS"/>
        </w:rPr>
        <w:t>Висок</w:t>
      </w:r>
      <w:r w:rsidR="00296039">
        <w:rPr>
          <w:rStyle w:val="A5"/>
          <w:rFonts w:ascii="Calibri" w:hAnsi="Calibri" w:cs="Calibri"/>
          <w:color w:val="000000" w:themeColor="text1"/>
          <w:lang w:val="sr-Cyrl-RS"/>
        </w:rPr>
        <w:t>у</w:t>
      </w:r>
      <w:r w:rsidRPr="006A633E">
        <w:rPr>
          <w:rStyle w:val="A5"/>
          <w:rFonts w:ascii="Calibri" w:hAnsi="Calibri" w:cs="Calibri"/>
          <w:color w:val="000000" w:themeColor="text1"/>
          <w:lang w:val="sr-Cyrl-RS"/>
        </w:rPr>
        <w:t xml:space="preserve"> школа за економију и информатику Приједор</w:t>
      </w:r>
      <w:r>
        <w:rPr>
          <w:rStyle w:val="A5"/>
          <w:rFonts w:ascii="Calibri" w:hAnsi="Calibri" w:cs="Calibri"/>
          <w:b/>
          <w:color w:val="000000" w:themeColor="text1"/>
          <w:lang w:val="sr-Cyrl-RS"/>
        </w:rPr>
        <w:t xml:space="preserve">  </w:t>
      </w:r>
      <w:r w:rsidRPr="00296039">
        <w:rPr>
          <w:rStyle w:val="A5"/>
          <w:rFonts w:ascii="Calibri" w:hAnsi="Calibri" w:cs="Calibri"/>
          <w:color w:val="000000" w:themeColor="text1"/>
          <w:lang w:val="sr-Cyrl-RS"/>
        </w:rPr>
        <w:t xml:space="preserve"> (</w:t>
      </w:r>
      <w:r w:rsidRPr="00E5063A">
        <w:rPr>
          <w:rFonts w:eastAsia="Calibri" w:cstheme="minorHAnsi"/>
          <w:lang w:val="sr-Latn-RS"/>
        </w:rPr>
        <w:t>рјешењ</w:t>
      </w:r>
      <w:r>
        <w:rPr>
          <w:rFonts w:eastAsia="Calibri" w:cstheme="minorHAnsi"/>
          <w:lang w:val="sr-Cyrl-RS"/>
        </w:rPr>
        <w:t>е</w:t>
      </w:r>
      <w:r w:rsidRPr="00E5063A">
        <w:rPr>
          <w:rFonts w:eastAsia="Calibri" w:cstheme="minorHAnsi"/>
          <w:lang w:val="sr-Latn-RS"/>
        </w:rPr>
        <w:t xml:space="preserve"> о одбијању захтјева за акредитацију високошколске установе и </w:t>
      </w:r>
      <w:r>
        <w:rPr>
          <w:rFonts w:eastAsia="Calibri" w:cstheme="minorHAnsi"/>
          <w:lang w:val="sr-Cyrl-BA"/>
        </w:rPr>
        <w:t xml:space="preserve">једног </w:t>
      </w:r>
      <w:r>
        <w:rPr>
          <w:rFonts w:eastAsia="Calibri" w:cstheme="minorHAnsi"/>
          <w:lang w:val="sr-Latn-RS"/>
        </w:rPr>
        <w:t>студијск</w:t>
      </w:r>
      <w:r>
        <w:rPr>
          <w:rFonts w:eastAsia="Calibri" w:cstheme="minorHAnsi"/>
          <w:lang w:val="sr-Cyrl-RS"/>
        </w:rPr>
        <w:t>ог</w:t>
      </w:r>
      <w:r>
        <w:rPr>
          <w:rFonts w:eastAsia="Calibri" w:cstheme="minorHAnsi"/>
          <w:lang w:val="sr-Latn-RS"/>
        </w:rPr>
        <w:t xml:space="preserve"> </w:t>
      </w:r>
      <w:r w:rsidRPr="00E5063A">
        <w:rPr>
          <w:rFonts w:eastAsia="Calibri" w:cstheme="minorHAnsi"/>
          <w:lang w:val="sr-Latn-RS"/>
        </w:rPr>
        <w:t>програма</w:t>
      </w:r>
      <w:r w:rsidRPr="00E5063A">
        <w:rPr>
          <w:rFonts w:eastAsia="Calibri" w:cstheme="minorHAnsi"/>
          <w:lang w:val="sr-Cyrl-BA"/>
        </w:rPr>
        <w:t xml:space="preserve"> из ју</w:t>
      </w:r>
      <w:r>
        <w:rPr>
          <w:rFonts w:eastAsia="Calibri" w:cstheme="minorHAnsi"/>
          <w:lang w:val="sr-Cyrl-BA"/>
        </w:rPr>
        <w:t>ла</w:t>
      </w:r>
      <w:r w:rsidRPr="00E5063A">
        <w:rPr>
          <w:rFonts w:eastAsia="Calibri" w:cstheme="minorHAnsi"/>
          <w:lang w:val="sr-Cyrl-BA"/>
        </w:rPr>
        <w:t xml:space="preserve"> 2024. године</w:t>
      </w:r>
      <w:r>
        <w:rPr>
          <w:rFonts w:eastAsia="Calibri" w:cstheme="minorHAnsi"/>
          <w:lang w:val="sr-Cyrl-BA"/>
        </w:rPr>
        <w:t xml:space="preserve"> </w:t>
      </w:r>
      <w:r>
        <w:rPr>
          <w:rFonts w:eastAsia="Times New Roman" w:cs="Open Sans"/>
          <w:lang w:val="sr-Cyrl-RS" w:eastAsia="en-GB"/>
        </w:rPr>
        <w:t>- извршење судске пресуде</w:t>
      </w:r>
      <w:r w:rsidR="00296039">
        <w:rPr>
          <w:rFonts w:eastAsia="Times New Roman" w:cs="Open Sans"/>
          <w:lang w:val="sr-Cyrl-RS" w:eastAsia="en-GB"/>
        </w:rPr>
        <w:t>, видјети Поглавље 3.1.2</w:t>
      </w:r>
      <w:r>
        <w:rPr>
          <w:rFonts w:eastAsia="Calibri" w:cstheme="minorHAnsi"/>
          <w:lang w:val="sr-Cyrl-BA"/>
        </w:rPr>
        <w:t>)</w:t>
      </w:r>
    </w:p>
    <w:p w:rsidR="00747053" w:rsidRPr="00E5063A" w:rsidRDefault="00747053" w:rsidP="00637F6E">
      <w:pPr>
        <w:rPr>
          <w:rFonts w:eastAsia="Calibri" w:cstheme="minorHAnsi"/>
          <w:lang w:val="sr-Latn-RS"/>
        </w:rPr>
      </w:pPr>
    </w:p>
    <w:p w:rsidR="00637F6E" w:rsidRPr="00296039" w:rsidRDefault="00637F6E" w:rsidP="00637F6E">
      <w:pPr>
        <w:pStyle w:val="a1"/>
        <w:numPr>
          <w:ilvl w:val="2"/>
          <w:numId w:val="8"/>
        </w:numPr>
        <w:spacing w:line="276" w:lineRule="auto"/>
        <w:rPr>
          <w:rFonts w:asciiTheme="minorHAnsi" w:hAnsiTheme="minorHAnsi" w:cstheme="minorHAnsi"/>
          <w:color w:val="323E4F" w:themeColor="text2" w:themeShade="BF"/>
        </w:rPr>
      </w:pPr>
      <w:r w:rsidRPr="00296039">
        <w:rPr>
          <w:rFonts w:asciiTheme="minorHAnsi" w:hAnsiTheme="minorHAnsi" w:cstheme="minorHAnsi"/>
          <w:color w:val="323E4F" w:themeColor="text2" w:themeShade="BF"/>
        </w:rPr>
        <w:t xml:space="preserve">Статус акредитације високошколских установа </w:t>
      </w:r>
    </w:p>
    <w:p w:rsidR="00637F6E" w:rsidRPr="006F6056" w:rsidRDefault="00637F6E" w:rsidP="00637F6E">
      <w:pPr>
        <w:spacing w:line="276" w:lineRule="auto"/>
      </w:pPr>
    </w:p>
    <w:p w:rsidR="007A00A3" w:rsidRDefault="00637F6E" w:rsidP="0094580A">
      <w:pPr>
        <w:pStyle w:val="NormalWeb"/>
        <w:shd w:val="clear" w:color="auto" w:fill="FFFFFF"/>
        <w:spacing w:before="0" w:beforeAutospacing="0" w:after="0" w:afterAutospacing="0" w:line="276" w:lineRule="auto"/>
        <w:jc w:val="both"/>
        <w:rPr>
          <w:rFonts w:asciiTheme="minorHAnsi" w:hAnsiTheme="minorHAnsi" w:cs="Open Sans"/>
          <w:sz w:val="22"/>
          <w:szCs w:val="22"/>
          <w:lang w:val="sr-Cyrl-RS"/>
        </w:rPr>
      </w:pPr>
      <w:r>
        <w:rPr>
          <w:rFonts w:asciiTheme="minorHAnsi" w:hAnsiTheme="minorHAnsi" w:cs="Open Sans"/>
          <w:sz w:val="22"/>
          <w:szCs w:val="22"/>
          <w:lang w:val="sr-Cyrl-RS"/>
        </w:rPr>
        <w:t xml:space="preserve">У Табели 1. </w:t>
      </w:r>
      <w:r w:rsidRPr="003F5A99">
        <w:rPr>
          <w:rFonts w:asciiTheme="minorHAnsi" w:hAnsiTheme="minorHAnsi" w:cs="Open Sans"/>
          <w:sz w:val="22"/>
          <w:szCs w:val="22"/>
          <w:lang w:val="sr-Cyrl-RS"/>
        </w:rPr>
        <w:t>дат је преглед тренутног статуса</w:t>
      </w:r>
      <w:r w:rsidRPr="003F5A99">
        <w:rPr>
          <w:rStyle w:val="FootnoteReference"/>
          <w:rFonts w:asciiTheme="minorHAnsi" w:hAnsiTheme="minorHAnsi" w:cs="Open Sans"/>
          <w:sz w:val="22"/>
          <w:szCs w:val="22"/>
          <w:lang w:val="sr-Cyrl-RS"/>
        </w:rPr>
        <w:footnoteReference w:id="12"/>
      </w:r>
      <w:r w:rsidRPr="003F5A99">
        <w:rPr>
          <w:rFonts w:asciiTheme="minorHAnsi" w:hAnsiTheme="minorHAnsi" w:cs="Open Sans"/>
          <w:sz w:val="22"/>
          <w:szCs w:val="22"/>
          <w:lang w:val="sr-Cyrl-RS"/>
        </w:rPr>
        <w:t xml:space="preserve"> акредитације за све високошколске установе у Републици Српској и њихове акредитоване студијске програме. Високошколске установе које се налазе у поступку акредитације су у различитим фазама акредитације, што је детаљно објашњено у Поглављу </w:t>
      </w:r>
      <w:r>
        <w:rPr>
          <w:rFonts w:asciiTheme="minorHAnsi" w:hAnsiTheme="minorHAnsi" w:cs="Open Sans"/>
          <w:sz w:val="22"/>
          <w:szCs w:val="22"/>
          <w:lang w:val="sr-Cyrl-RS"/>
        </w:rPr>
        <w:t>3</w:t>
      </w:r>
      <w:r w:rsidRPr="003F5A99">
        <w:rPr>
          <w:rFonts w:asciiTheme="minorHAnsi" w:hAnsiTheme="minorHAnsi" w:cs="Open Sans"/>
          <w:sz w:val="22"/>
          <w:szCs w:val="22"/>
          <w:lang w:val="sr-Cyrl-RS"/>
        </w:rPr>
        <w:t>.1.2</w:t>
      </w:r>
      <w:r>
        <w:rPr>
          <w:rFonts w:asciiTheme="minorHAnsi" w:hAnsiTheme="minorHAnsi" w:cs="Open Sans"/>
          <w:sz w:val="22"/>
          <w:szCs w:val="22"/>
          <w:lang w:val="sr-Cyrl-RS"/>
        </w:rPr>
        <w:t>.</w:t>
      </w:r>
      <w:r w:rsidRPr="003F5A99">
        <w:rPr>
          <w:rFonts w:asciiTheme="minorHAnsi" w:hAnsiTheme="minorHAnsi" w:cs="Open Sans"/>
          <w:sz w:val="22"/>
          <w:szCs w:val="22"/>
          <w:lang w:val="sr-Cyrl-RS"/>
        </w:rPr>
        <w:t xml:space="preserve"> Извод из </w:t>
      </w:r>
      <w:r>
        <w:rPr>
          <w:rFonts w:asciiTheme="minorHAnsi" w:hAnsiTheme="minorHAnsi" w:cs="Open Sans"/>
          <w:sz w:val="22"/>
          <w:szCs w:val="22"/>
          <w:lang w:val="sr-Cyrl-RS"/>
        </w:rPr>
        <w:t>Р</w:t>
      </w:r>
      <w:r w:rsidRPr="003F5A99">
        <w:rPr>
          <w:rFonts w:asciiTheme="minorHAnsi" w:hAnsiTheme="minorHAnsi" w:cs="Open Sans"/>
          <w:sz w:val="22"/>
          <w:szCs w:val="22"/>
          <w:lang w:val="sr-Cyrl-RS"/>
        </w:rPr>
        <w:t xml:space="preserve">егистра </w:t>
      </w:r>
      <w:r>
        <w:rPr>
          <w:rFonts w:asciiTheme="minorHAnsi" w:hAnsiTheme="minorHAnsi" w:cs="Open Sans"/>
          <w:sz w:val="22"/>
          <w:szCs w:val="22"/>
          <w:lang w:val="sr-Cyrl-RS"/>
        </w:rPr>
        <w:t xml:space="preserve">акредитованих </w:t>
      </w:r>
      <w:r w:rsidRPr="003F5A99">
        <w:rPr>
          <w:rFonts w:asciiTheme="minorHAnsi" w:hAnsiTheme="minorHAnsi" w:cs="Open Sans"/>
          <w:sz w:val="22"/>
          <w:szCs w:val="22"/>
          <w:lang w:val="sr-Cyrl-RS"/>
        </w:rPr>
        <w:t>високошколских установа</w:t>
      </w:r>
      <w:r>
        <w:rPr>
          <w:rFonts w:asciiTheme="minorHAnsi" w:hAnsiTheme="minorHAnsi" w:cs="Open Sans"/>
          <w:sz w:val="22"/>
          <w:szCs w:val="22"/>
          <w:lang w:val="sr-Cyrl-RS"/>
        </w:rPr>
        <w:t xml:space="preserve"> и студијских програма</w:t>
      </w:r>
      <w:r w:rsidRPr="003F5A99">
        <w:rPr>
          <w:rFonts w:asciiTheme="minorHAnsi" w:hAnsiTheme="minorHAnsi" w:cs="Open Sans"/>
          <w:sz w:val="22"/>
          <w:szCs w:val="22"/>
          <w:lang w:val="sr-Cyrl-RS"/>
        </w:rPr>
        <w:t xml:space="preserve"> је доступан на web страници Агенције.</w:t>
      </w:r>
      <w:r w:rsidRPr="003F5A99">
        <w:rPr>
          <w:rStyle w:val="FootnoteReference"/>
          <w:rFonts w:asciiTheme="minorHAnsi" w:hAnsiTheme="minorHAnsi" w:cs="Open Sans"/>
          <w:sz w:val="22"/>
          <w:szCs w:val="22"/>
          <w:lang w:val="sr-Cyrl-RS"/>
        </w:rPr>
        <w:footnoteReference w:id="13"/>
      </w:r>
      <w:r w:rsidRPr="003F5A99">
        <w:rPr>
          <w:rFonts w:asciiTheme="minorHAnsi" w:hAnsiTheme="minorHAnsi" w:cs="Open Sans"/>
          <w:sz w:val="22"/>
          <w:szCs w:val="22"/>
          <w:lang w:val="sr-Cyrl-RS"/>
        </w:rPr>
        <w:t xml:space="preserve">  </w:t>
      </w:r>
    </w:p>
    <w:p w:rsidR="007A00A3" w:rsidRDefault="007A00A3">
      <w:pPr>
        <w:rPr>
          <w:rFonts w:eastAsia="Times New Roman" w:cs="Open Sans"/>
          <w:sz w:val="22"/>
          <w:szCs w:val="22"/>
          <w:lang w:val="sr-Cyrl-RS" w:eastAsia="en-GB"/>
        </w:rPr>
      </w:pPr>
      <w:r>
        <w:rPr>
          <w:rFonts w:cs="Open Sans"/>
          <w:sz w:val="22"/>
          <w:szCs w:val="22"/>
          <w:lang w:val="sr-Cyrl-RS"/>
        </w:rPr>
        <w:br w:type="page"/>
      </w:r>
    </w:p>
    <w:p w:rsidR="00637F6E" w:rsidRPr="0094580A" w:rsidRDefault="00637F6E" w:rsidP="0094580A">
      <w:pPr>
        <w:pStyle w:val="NormalWeb"/>
        <w:shd w:val="clear" w:color="auto" w:fill="FFFFFF"/>
        <w:spacing w:before="0" w:beforeAutospacing="0" w:after="0" w:afterAutospacing="0" w:line="276" w:lineRule="auto"/>
        <w:jc w:val="both"/>
        <w:rPr>
          <w:rFonts w:asciiTheme="minorHAnsi" w:hAnsiTheme="minorHAnsi" w:cs="Open Sans"/>
          <w:sz w:val="22"/>
          <w:szCs w:val="22"/>
          <w:lang w:val="sr-Cyrl-RS"/>
        </w:rPr>
      </w:pPr>
    </w:p>
    <w:p w:rsidR="00637F6E" w:rsidRPr="00C96F10" w:rsidRDefault="00637F6E" w:rsidP="00637F6E">
      <w:pPr>
        <w:rPr>
          <w:rFonts w:eastAsiaTheme="minorEastAsia"/>
          <w:sz w:val="22"/>
          <w:szCs w:val="22"/>
          <w:lang w:val="sr-Cyrl-RS" w:eastAsia="bs-Latn-BA"/>
        </w:rPr>
      </w:pPr>
    </w:p>
    <w:tbl>
      <w:tblPr>
        <w:tblStyle w:val="ListTable4-Accent5"/>
        <w:tblW w:w="0" w:type="auto"/>
        <w:tblLook w:val="04A0" w:firstRow="1" w:lastRow="0" w:firstColumn="1" w:lastColumn="0" w:noHBand="0" w:noVBand="1"/>
      </w:tblPr>
      <w:tblGrid>
        <w:gridCol w:w="593"/>
        <w:gridCol w:w="2521"/>
        <w:gridCol w:w="5896"/>
      </w:tblGrid>
      <w:tr w:rsidR="00637F6E" w:rsidTr="007D66C4">
        <w:trPr>
          <w:cnfStyle w:val="100000000000" w:firstRow="1" w:lastRow="0" w:firstColumn="0" w:lastColumn="0" w:oddVBand="0" w:evenVBand="0" w:oddHBand="0"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593" w:type="dxa"/>
          </w:tcPr>
          <w:p w:rsidR="00637F6E" w:rsidRPr="005A17C9" w:rsidRDefault="00637F6E" w:rsidP="007D66C4">
            <w:pPr>
              <w:pStyle w:val="ListParagraph"/>
              <w:ind w:left="0"/>
              <w:jc w:val="center"/>
              <w:rPr>
                <w:rFonts w:cstheme="minorHAnsi"/>
                <w:sz w:val="20"/>
                <w:szCs w:val="20"/>
                <w:lang w:val="sr-Cyrl-RS"/>
              </w:rPr>
            </w:pPr>
            <w:r>
              <w:rPr>
                <w:rFonts w:cstheme="minorHAnsi"/>
                <w:sz w:val="20"/>
                <w:szCs w:val="20"/>
                <w:lang w:val="sr-Cyrl-RS"/>
              </w:rPr>
              <w:t>Ред. број</w:t>
            </w:r>
          </w:p>
        </w:tc>
        <w:tc>
          <w:tcPr>
            <w:tcW w:w="2521" w:type="dxa"/>
            <w:vAlign w:val="center"/>
          </w:tcPr>
          <w:p w:rsidR="00637F6E" w:rsidRPr="005A17C9" w:rsidRDefault="00637F6E" w:rsidP="007D66C4">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theme="minorHAnsi"/>
                <w:sz w:val="20"/>
                <w:szCs w:val="20"/>
                <w:lang w:val="sr-Cyrl-RS"/>
              </w:rPr>
            </w:pPr>
            <w:r w:rsidRPr="005A17C9">
              <w:rPr>
                <w:rFonts w:cstheme="minorHAnsi"/>
                <w:sz w:val="20"/>
                <w:szCs w:val="20"/>
                <w:lang w:val="sr-Cyrl-RS"/>
              </w:rPr>
              <w:t>ВИСОКОШКОЛСК</w:t>
            </w:r>
            <w:r>
              <w:rPr>
                <w:rFonts w:cstheme="minorHAnsi"/>
                <w:sz w:val="20"/>
                <w:szCs w:val="20"/>
                <w:lang w:val="sr-Cyrl-RS"/>
              </w:rPr>
              <w:t xml:space="preserve">А </w:t>
            </w:r>
            <w:r w:rsidRPr="005A17C9">
              <w:rPr>
                <w:rFonts w:cstheme="minorHAnsi"/>
                <w:sz w:val="20"/>
                <w:szCs w:val="20"/>
                <w:lang w:val="sr-Cyrl-RS"/>
              </w:rPr>
              <w:t>УСТАНОВ</w:t>
            </w:r>
            <w:r>
              <w:rPr>
                <w:rFonts w:cstheme="minorHAnsi"/>
                <w:sz w:val="20"/>
                <w:szCs w:val="20"/>
                <w:lang w:val="sr-Cyrl-RS"/>
              </w:rPr>
              <w:t>А</w:t>
            </w:r>
            <w:r w:rsidRPr="005A17C9">
              <w:rPr>
                <w:rFonts w:cstheme="minorHAnsi"/>
                <w:sz w:val="20"/>
                <w:szCs w:val="20"/>
                <w:lang w:val="sr-Cyrl-RS"/>
              </w:rPr>
              <w:t xml:space="preserve"> </w:t>
            </w:r>
          </w:p>
        </w:tc>
        <w:tc>
          <w:tcPr>
            <w:tcW w:w="5896" w:type="dxa"/>
            <w:vAlign w:val="center"/>
          </w:tcPr>
          <w:p w:rsidR="00637F6E" w:rsidRPr="005A17C9" w:rsidRDefault="00637F6E" w:rsidP="007D66C4">
            <w:pPr>
              <w:pStyle w:val="ListParagraph"/>
              <w:spacing w:after="0"/>
              <w:ind w:left="0"/>
              <w:jc w:val="center"/>
              <w:cnfStyle w:val="100000000000" w:firstRow="1" w:lastRow="0" w:firstColumn="0" w:lastColumn="0" w:oddVBand="0" w:evenVBand="0" w:oddHBand="0" w:evenHBand="0" w:firstRowFirstColumn="0" w:firstRowLastColumn="0" w:lastRowFirstColumn="0" w:lastRowLastColumn="0"/>
              <w:rPr>
                <w:rFonts w:cstheme="minorHAnsi"/>
                <w:sz w:val="20"/>
                <w:szCs w:val="20"/>
                <w:lang w:val="sr-Cyrl-RS"/>
              </w:rPr>
            </w:pPr>
            <w:r w:rsidRPr="005A17C9">
              <w:rPr>
                <w:rFonts w:cstheme="minorHAnsi"/>
                <w:sz w:val="20"/>
                <w:szCs w:val="20"/>
                <w:lang w:val="sr-Cyrl-RS"/>
              </w:rPr>
              <w:t>СТАТУС АКРЕДИТАЦИЈЕ</w:t>
            </w:r>
          </w:p>
        </w:tc>
      </w:tr>
      <w:tr w:rsidR="00637F6E" w:rsidTr="000C3C72">
        <w:trPr>
          <w:cnfStyle w:val="000000100000" w:firstRow="0" w:lastRow="0" w:firstColumn="0" w:lastColumn="0" w:oddVBand="0" w:evenVBand="0" w:oddHBand="1" w:evenHBand="0" w:firstRowFirstColumn="0" w:firstRowLastColumn="0" w:lastRowFirstColumn="0" w:lastRowLastColumn="0"/>
          <w:trHeight w:val="2708"/>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1</w:t>
            </w:r>
          </w:p>
        </w:tc>
        <w:tc>
          <w:tcPr>
            <w:tcW w:w="2521" w:type="dxa"/>
            <w:vAlign w:val="center"/>
          </w:tcPr>
          <w:p w:rsidR="00637F6E" w:rsidRPr="005A17C9" w:rsidRDefault="00637F6E" w:rsidP="007D66C4">
            <w:pPr>
              <w:cnfStyle w:val="000000100000" w:firstRow="0" w:lastRow="0" w:firstColumn="0" w:lastColumn="0" w:oddVBand="0" w:evenVBand="0" w:oddHBand="1" w:evenHBand="0" w:firstRowFirstColumn="0" w:firstRowLastColumn="0" w:lastRowFirstColumn="0" w:lastRowLastColumn="0"/>
              <w:rPr>
                <w:sz w:val="20"/>
                <w:szCs w:val="20"/>
              </w:rPr>
            </w:pPr>
            <w:r w:rsidRPr="004666A2">
              <w:rPr>
                <w:sz w:val="20"/>
                <w:szCs w:val="20"/>
              </w:rPr>
              <w:t>Универзитет у Бањој Луци</w:t>
            </w:r>
            <w:r w:rsidRPr="005A17C9">
              <w:rPr>
                <w:sz w:val="20"/>
                <w:szCs w:val="20"/>
              </w:rPr>
              <w:t xml:space="preserve"> </w:t>
            </w:r>
          </w:p>
        </w:tc>
        <w:tc>
          <w:tcPr>
            <w:tcW w:w="5896" w:type="dxa"/>
            <w:vAlign w:val="center"/>
          </w:tcPr>
          <w:p w:rsidR="00637F6E" w:rsidRPr="004C788C" w:rsidRDefault="004C788C" w:rsidP="009026FB">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sz w:val="20"/>
                <w:szCs w:val="20"/>
                <w:lang w:val="sr-Cyrl-RS"/>
              </w:rPr>
            </w:pPr>
            <w:r>
              <w:rPr>
                <w:rFonts w:cstheme="minorHAnsi"/>
                <w:sz w:val="20"/>
                <w:szCs w:val="20"/>
                <w:lang w:val="sr-Cyrl-RS"/>
              </w:rPr>
              <w:t>Универзитет је</w:t>
            </w:r>
            <w:r w:rsidR="00637F6E" w:rsidRPr="009522D8">
              <w:rPr>
                <w:rFonts w:cstheme="minorHAnsi"/>
                <w:sz w:val="20"/>
                <w:szCs w:val="20"/>
                <w:lang w:val="sr-Cyrl-RS"/>
              </w:rPr>
              <w:t xml:space="preserve"> </w:t>
            </w:r>
            <w:r>
              <w:rPr>
                <w:rFonts w:cstheme="minorHAnsi"/>
                <w:sz w:val="20"/>
                <w:szCs w:val="20"/>
                <w:lang w:val="sr-Cyrl-RS"/>
              </w:rPr>
              <w:t>прошао поступак вањског вредновања и добио рјешење о акредитацији у</w:t>
            </w:r>
            <w:r w:rsidR="00637F6E" w:rsidRPr="009522D8">
              <w:rPr>
                <w:rFonts w:cstheme="minorHAnsi"/>
                <w:sz w:val="20"/>
                <w:szCs w:val="20"/>
                <w:lang w:val="sr-Cyrl-RS"/>
              </w:rPr>
              <w:t xml:space="preserve"> 2024. годин</w:t>
            </w:r>
            <w:r>
              <w:rPr>
                <w:rFonts w:cstheme="minorHAnsi"/>
                <w:sz w:val="20"/>
                <w:szCs w:val="20"/>
                <w:lang w:val="sr-Cyrl-RS"/>
              </w:rPr>
              <w:t>и</w:t>
            </w:r>
            <w:r w:rsidR="00637F6E" w:rsidRPr="009522D8">
              <w:rPr>
                <w:rFonts w:cstheme="minorHAnsi"/>
                <w:sz w:val="20"/>
                <w:szCs w:val="20"/>
                <w:lang w:val="sr-Cyrl-RS"/>
              </w:rPr>
              <w:t>,</w:t>
            </w:r>
            <w:r>
              <w:rPr>
                <w:rFonts w:cstheme="minorHAnsi"/>
                <w:sz w:val="20"/>
                <w:szCs w:val="20"/>
                <w:lang w:val="sr-Cyrl-RS"/>
              </w:rPr>
              <w:t xml:space="preserve"> што је трећи циклус акредитације Универзитета. </w:t>
            </w:r>
            <w:r w:rsidR="00637F6E" w:rsidRPr="009522D8">
              <w:rPr>
                <w:rFonts w:cstheme="minorHAnsi"/>
                <w:sz w:val="20"/>
                <w:szCs w:val="20"/>
                <w:lang w:val="sr-Cyrl-RS"/>
              </w:rPr>
              <w:t xml:space="preserve"> </w:t>
            </w:r>
            <w:r>
              <w:rPr>
                <w:rFonts w:cstheme="minorHAnsi"/>
                <w:sz w:val="20"/>
                <w:szCs w:val="20"/>
                <w:lang w:val="sr-Cyrl-RS"/>
              </w:rPr>
              <w:t>А</w:t>
            </w:r>
            <w:r w:rsidR="009522D8">
              <w:rPr>
                <w:rFonts w:cstheme="minorHAnsi"/>
                <w:sz w:val="20"/>
                <w:szCs w:val="20"/>
                <w:lang w:val="sr-Cyrl-RS"/>
              </w:rPr>
              <w:t>кредитација</w:t>
            </w:r>
            <w:r w:rsidR="009522D8" w:rsidRPr="009522D8">
              <w:rPr>
                <w:rStyle w:val="A5"/>
                <w:rFonts w:ascii="Calibri" w:hAnsi="Calibri" w:cs="Calibri"/>
                <w:color w:val="auto"/>
                <w:lang w:val="sr-Cyrl-BA"/>
              </w:rPr>
              <w:t xml:space="preserve"> </w:t>
            </w:r>
            <w:r w:rsidR="009522D8" w:rsidRPr="009522D8">
              <w:rPr>
                <w:rFonts w:cstheme="minorHAnsi"/>
                <w:sz w:val="20"/>
                <w:szCs w:val="20"/>
                <w:lang w:val="sr-Cyrl-RS"/>
              </w:rPr>
              <w:t xml:space="preserve">кластера студијских програма из области инжењерства и технологије уз два студијска програма из области природних наука </w:t>
            </w:r>
            <w:r w:rsidR="00CE3FC6">
              <w:rPr>
                <w:rFonts w:cstheme="minorHAnsi"/>
                <w:sz w:val="20"/>
                <w:szCs w:val="20"/>
                <w:lang w:val="sr-Cyrl-RS"/>
              </w:rPr>
              <w:t xml:space="preserve">(укупно </w:t>
            </w:r>
            <w:r w:rsidR="00D60FF3">
              <w:rPr>
                <w:rFonts w:cstheme="minorHAnsi"/>
                <w:sz w:val="20"/>
                <w:szCs w:val="20"/>
                <w:lang w:val="sr-Cyrl-RS"/>
              </w:rPr>
              <w:t>девет студијских програма</w:t>
            </w:r>
            <w:r w:rsidR="00CE3FC6">
              <w:rPr>
                <w:rFonts w:cstheme="minorHAnsi"/>
                <w:sz w:val="20"/>
                <w:szCs w:val="20"/>
                <w:lang w:val="sr-Cyrl-RS"/>
              </w:rPr>
              <w:t xml:space="preserve">) </w:t>
            </w:r>
            <w:r>
              <w:rPr>
                <w:rFonts w:cstheme="minorHAnsi"/>
                <w:sz w:val="20"/>
                <w:szCs w:val="20"/>
                <w:lang w:val="sr-Cyrl-RS"/>
              </w:rPr>
              <w:t xml:space="preserve">је </w:t>
            </w:r>
            <w:r w:rsidR="009522D8" w:rsidRPr="009522D8">
              <w:rPr>
                <w:rFonts w:cstheme="minorHAnsi"/>
                <w:sz w:val="20"/>
                <w:szCs w:val="20"/>
                <w:lang w:val="sr-Cyrl-RS"/>
              </w:rPr>
              <w:t xml:space="preserve">у завршној фази. </w:t>
            </w:r>
            <w:r w:rsidR="00637F6E">
              <w:rPr>
                <w:rFonts w:cstheme="minorHAnsi"/>
                <w:sz w:val="20"/>
                <w:szCs w:val="20"/>
                <w:lang w:val="sr-Cyrl-RS"/>
              </w:rPr>
              <w:t xml:space="preserve">У току је међународна акредитација студијског програма Медицина на Медицинском факултету </w:t>
            </w:r>
            <w:r w:rsidR="00637F6E">
              <w:rPr>
                <w:rFonts w:eastAsia="Calibri" w:cstheme="minorHAnsi"/>
                <w:sz w:val="20"/>
                <w:szCs w:val="20"/>
                <w:lang w:val="sr-Cyrl-RS"/>
              </w:rPr>
              <w:t>коју спроводи Комитет за акредитацију Мађарске (МАБ).</w:t>
            </w:r>
            <w:r w:rsidR="00637F6E">
              <w:rPr>
                <w:rFonts w:cstheme="minorHAnsi"/>
                <w:sz w:val="20"/>
                <w:szCs w:val="20"/>
                <w:lang w:val="sr-Cyrl-RS"/>
              </w:rPr>
              <w:t xml:space="preserve"> </w:t>
            </w:r>
            <w:r>
              <w:rPr>
                <w:rFonts w:cstheme="minorHAnsi"/>
                <w:sz w:val="20"/>
                <w:szCs w:val="20"/>
                <w:lang w:val="sr-Cyrl-RS"/>
              </w:rPr>
              <w:t xml:space="preserve">Универзитет је у претходном циклусу акредитовао и 16 студијских програма. </w:t>
            </w:r>
          </w:p>
        </w:tc>
      </w:tr>
      <w:tr w:rsidR="00637F6E" w:rsidTr="000C3C72">
        <w:trPr>
          <w:trHeight w:val="2393"/>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2</w:t>
            </w:r>
          </w:p>
        </w:tc>
        <w:tc>
          <w:tcPr>
            <w:tcW w:w="2521" w:type="dxa"/>
            <w:vAlign w:val="center"/>
          </w:tcPr>
          <w:p w:rsidR="00637F6E" w:rsidRPr="004263AB" w:rsidRDefault="00637F6E" w:rsidP="007D66C4">
            <w:pPr>
              <w:cnfStyle w:val="000000000000" w:firstRow="0" w:lastRow="0" w:firstColumn="0" w:lastColumn="0" w:oddVBand="0" w:evenVBand="0" w:oddHBand="0" w:evenHBand="0" w:firstRowFirstColumn="0" w:firstRowLastColumn="0" w:lastRowFirstColumn="0" w:lastRowLastColumn="0"/>
              <w:rPr>
                <w:sz w:val="20"/>
                <w:szCs w:val="20"/>
                <w:highlight w:val="yellow"/>
              </w:rPr>
            </w:pPr>
            <w:r w:rsidRPr="004666A2">
              <w:rPr>
                <w:sz w:val="20"/>
                <w:szCs w:val="20"/>
              </w:rPr>
              <w:t xml:space="preserve">Универзитет у Источном Сарајеву </w:t>
            </w:r>
          </w:p>
        </w:tc>
        <w:tc>
          <w:tcPr>
            <w:tcW w:w="5896" w:type="dxa"/>
            <w:vAlign w:val="center"/>
          </w:tcPr>
          <w:p w:rsidR="00637F6E" w:rsidRPr="0057736D" w:rsidRDefault="004C788C" w:rsidP="004C788C">
            <w:pPr>
              <w:pStyle w:val="ListParagraph"/>
              <w:spacing w:after="0"/>
              <w:ind w:left="0"/>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sr-Cyrl-RS" w:eastAsia="en-US"/>
              </w:rPr>
            </w:pPr>
            <w:r>
              <w:rPr>
                <w:rFonts w:cstheme="minorHAnsi"/>
                <w:color w:val="000000"/>
                <w:sz w:val="20"/>
                <w:szCs w:val="20"/>
                <w:lang w:val="sr-Cyrl-RS"/>
              </w:rPr>
              <w:t xml:space="preserve">Универзитет има важећу акредитацију, а у </w:t>
            </w:r>
            <w:r w:rsidRPr="00D1580F">
              <w:rPr>
                <w:rFonts w:eastAsia="Calibri" w:cstheme="minorHAnsi"/>
                <w:sz w:val="20"/>
                <w:szCs w:val="20"/>
                <w:lang w:val="sr-Cyrl-RS" w:eastAsia="en-US"/>
              </w:rPr>
              <w:t>току је поступак реакредитациј</w:t>
            </w:r>
            <w:r>
              <w:rPr>
                <w:rFonts w:eastAsia="Calibri" w:cstheme="minorHAnsi"/>
                <w:sz w:val="20"/>
                <w:szCs w:val="20"/>
                <w:lang w:val="sr-Cyrl-RS" w:eastAsia="en-US"/>
              </w:rPr>
              <w:t>е</w:t>
            </w:r>
            <w:r w:rsidRPr="00D1580F">
              <w:rPr>
                <w:rFonts w:eastAsia="Calibri" w:cstheme="minorHAnsi"/>
                <w:sz w:val="20"/>
                <w:szCs w:val="20"/>
                <w:lang w:val="sr-Cyrl-RS" w:eastAsia="en-US"/>
              </w:rPr>
              <w:t xml:space="preserve"> </w:t>
            </w:r>
            <w:r>
              <w:rPr>
                <w:rFonts w:eastAsia="Calibri" w:cstheme="minorHAnsi"/>
                <w:sz w:val="20"/>
                <w:szCs w:val="20"/>
                <w:lang w:val="sr-Cyrl-RS" w:eastAsia="en-US"/>
              </w:rPr>
              <w:t>установе (трећи циклус акредитације) и акредитације</w:t>
            </w:r>
            <w:r w:rsidRPr="00D1580F">
              <w:rPr>
                <w:rFonts w:eastAsia="Calibri" w:cstheme="minorHAnsi"/>
                <w:sz w:val="20"/>
                <w:szCs w:val="20"/>
                <w:lang w:val="sr-Cyrl-RS" w:eastAsia="en-US"/>
              </w:rPr>
              <w:t xml:space="preserve"> шест студијских програма по </w:t>
            </w:r>
            <w:r>
              <w:rPr>
                <w:rFonts w:eastAsia="Calibri" w:cstheme="minorHAnsi"/>
                <w:sz w:val="20"/>
                <w:szCs w:val="20"/>
                <w:lang w:val="sr-Cyrl-RS" w:eastAsia="en-US"/>
              </w:rPr>
              <w:t>моделу кластерске акредитације</w:t>
            </w:r>
            <w:r w:rsidR="00296039">
              <w:rPr>
                <w:rFonts w:eastAsia="Calibri" w:cstheme="minorHAnsi"/>
                <w:sz w:val="20"/>
                <w:szCs w:val="20"/>
                <w:lang w:val="sr-Cyrl-RS" w:eastAsia="en-US"/>
              </w:rPr>
              <w:t>.</w:t>
            </w:r>
            <w:r>
              <w:rPr>
                <w:rFonts w:eastAsia="Calibri" w:cstheme="minorHAnsi"/>
                <w:sz w:val="20"/>
                <w:szCs w:val="20"/>
                <w:lang w:val="sr-Cyrl-RS" w:eastAsia="en-US"/>
              </w:rPr>
              <w:t xml:space="preserve"> У току је такође и међународна акредитација студијског програма Медицина на Медицинском факултету у Фочи коју спроводи Комитет за акредитацију Мађарске (МАБ). </w:t>
            </w:r>
            <w:r>
              <w:rPr>
                <w:rFonts w:cstheme="minorHAnsi"/>
                <w:sz w:val="20"/>
                <w:szCs w:val="20"/>
                <w:lang w:val="sr-Cyrl-RS"/>
              </w:rPr>
              <w:t>Универзитет је у претходном циклусу акредитовао и 23 студијска програма.</w:t>
            </w:r>
          </w:p>
        </w:tc>
      </w:tr>
      <w:tr w:rsidR="00637F6E" w:rsidTr="000C3C72">
        <w:trPr>
          <w:cnfStyle w:val="000000100000" w:firstRow="0" w:lastRow="0" w:firstColumn="0" w:lastColumn="0" w:oddVBand="0" w:evenVBand="0" w:oddHBand="1" w:evenHBand="0" w:firstRowFirstColumn="0" w:firstRowLastColumn="0" w:lastRowFirstColumn="0" w:lastRowLastColumn="0"/>
          <w:trHeight w:val="1037"/>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3</w:t>
            </w:r>
          </w:p>
        </w:tc>
        <w:tc>
          <w:tcPr>
            <w:tcW w:w="2521" w:type="dxa"/>
            <w:vAlign w:val="center"/>
          </w:tcPr>
          <w:p w:rsidR="00637F6E" w:rsidRPr="00C25509" w:rsidRDefault="00637F6E" w:rsidP="007D66C4">
            <w:pPr>
              <w:cnfStyle w:val="000000100000" w:firstRow="0" w:lastRow="0" w:firstColumn="0" w:lastColumn="0" w:oddVBand="0" w:evenVBand="0" w:oddHBand="1" w:evenHBand="0" w:firstRowFirstColumn="0" w:firstRowLastColumn="0" w:lastRowFirstColumn="0" w:lastRowLastColumn="0"/>
              <w:rPr>
                <w:rFonts w:eastAsiaTheme="minorEastAsia" w:cstheme="minorHAnsi"/>
                <w:color w:val="000000"/>
                <w:sz w:val="20"/>
                <w:szCs w:val="20"/>
                <w:lang w:val="sr-Cyrl-RS" w:eastAsia="bs-Latn-BA"/>
              </w:rPr>
            </w:pPr>
            <w:r w:rsidRPr="00C25509">
              <w:rPr>
                <w:rFonts w:eastAsiaTheme="minorEastAsia" w:cstheme="minorHAnsi"/>
                <w:color w:val="000000"/>
                <w:sz w:val="20"/>
                <w:szCs w:val="20"/>
                <w:lang w:val="sr-Cyrl-RS" w:eastAsia="bs-Latn-BA"/>
              </w:rPr>
              <w:t>Независни универзитет Бања Лука</w:t>
            </w:r>
          </w:p>
        </w:tc>
        <w:tc>
          <w:tcPr>
            <w:tcW w:w="5896" w:type="dxa"/>
            <w:vAlign w:val="center"/>
          </w:tcPr>
          <w:p w:rsidR="00637F6E" w:rsidRPr="00C25509" w:rsidRDefault="004C788C" w:rsidP="00D9165B">
            <w:pPr>
              <w:pStyle w:val="ListParagraph"/>
              <w:spacing w:after="0"/>
              <w:ind w:left="0"/>
              <w:jc w:val="both"/>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lang w:val="sr-Cyrl-RS"/>
              </w:rPr>
            </w:pPr>
            <w:r>
              <w:rPr>
                <w:rFonts w:cstheme="minorHAnsi"/>
                <w:color w:val="000000"/>
                <w:sz w:val="20"/>
                <w:szCs w:val="20"/>
                <w:lang w:val="sr-Cyrl-RS"/>
              </w:rPr>
              <w:t>Универзитет</w:t>
            </w:r>
            <w:r w:rsidR="00637F6E" w:rsidRPr="00C25509">
              <w:rPr>
                <w:rFonts w:cstheme="minorHAnsi"/>
                <w:color w:val="000000"/>
                <w:sz w:val="20"/>
                <w:szCs w:val="20"/>
                <w:lang w:val="sr-Cyrl-RS"/>
              </w:rPr>
              <w:t xml:space="preserve"> има важећу акредитацију </w:t>
            </w:r>
            <w:r>
              <w:rPr>
                <w:rFonts w:cstheme="minorHAnsi"/>
                <w:color w:val="000000"/>
                <w:sz w:val="20"/>
                <w:szCs w:val="20"/>
                <w:lang w:val="sr-Cyrl-RS"/>
              </w:rPr>
              <w:t>до окончања поступка</w:t>
            </w:r>
            <w:r w:rsidR="00D9165B">
              <w:rPr>
                <w:rFonts w:cstheme="minorHAnsi"/>
                <w:color w:val="000000"/>
                <w:sz w:val="20"/>
                <w:szCs w:val="20"/>
                <w:lang w:val="sr-Cyrl-RS"/>
              </w:rPr>
              <w:t xml:space="preserve"> реакредитације</w:t>
            </w:r>
            <w:r>
              <w:rPr>
                <w:rFonts w:cstheme="minorHAnsi"/>
                <w:color w:val="000000"/>
                <w:sz w:val="20"/>
                <w:szCs w:val="20"/>
                <w:lang w:val="sr-Cyrl-RS"/>
              </w:rPr>
              <w:t xml:space="preserve"> </w:t>
            </w:r>
            <w:r w:rsidR="00D9165B">
              <w:rPr>
                <w:rFonts w:cstheme="minorHAnsi"/>
                <w:color w:val="000000"/>
                <w:sz w:val="20"/>
                <w:szCs w:val="20"/>
                <w:lang w:val="sr-Cyrl-RS"/>
              </w:rPr>
              <w:t>установе и седам</w:t>
            </w:r>
            <w:r w:rsidR="00D9165B" w:rsidRPr="00C25509">
              <w:rPr>
                <w:rFonts w:cstheme="minorHAnsi"/>
                <w:color w:val="000000"/>
                <w:sz w:val="20"/>
                <w:szCs w:val="20"/>
                <w:lang w:val="sr-Cyrl-RS"/>
              </w:rPr>
              <w:t xml:space="preserve"> студијских програма</w:t>
            </w:r>
            <w:r w:rsidR="00D9165B">
              <w:rPr>
                <w:rFonts w:cstheme="minorHAnsi"/>
                <w:color w:val="000000"/>
                <w:sz w:val="20"/>
                <w:szCs w:val="20"/>
                <w:lang w:val="sr-Cyrl-RS"/>
              </w:rPr>
              <w:t xml:space="preserve"> који је у току.</w:t>
            </w:r>
            <w:r w:rsidR="00D9165B">
              <w:rPr>
                <w:rFonts w:cstheme="minorHAnsi"/>
                <w:sz w:val="20"/>
                <w:szCs w:val="20"/>
                <w:lang w:val="sr-Cyrl-RS"/>
              </w:rPr>
              <w:t xml:space="preserve"> Универзитет је у претходном циклусу акредитовао и пет студијских програма.</w:t>
            </w:r>
          </w:p>
        </w:tc>
      </w:tr>
      <w:tr w:rsidR="00637F6E" w:rsidTr="007D66C4">
        <w:trPr>
          <w:trHeight w:val="1254"/>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4</w:t>
            </w:r>
          </w:p>
        </w:tc>
        <w:tc>
          <w:tcPr>
            <w:tcW w:w="2521" w:type="dxa"/>
            <w:vAlign w:val="center"/>
          </w:tcPr>
          <w:p w:rsidR="00637F6E" w:rsidRPr="005A17C9" w:rsidRDefault="00637F6E" w:rsidP="007D66C4">
            <w:pPr>
              <w:cnfStyle w:val="000000000000" w:firstRow="0" w:lastRow="0" w:firstColumn="0" w:lastColumn="0" w:oddVBand="0" w:evenVBand="0" w:oddHBand="0" w:evenHBand="0" w:firstRowFirstColumn="0" w:firstRowLastColumn="0" w:lastRowFirstColumn="0" w:lastRowLastColumn="0"/>
              <w:rPr>
                <w:sz w:val="20"/>
                <w:szCs w:val="20"/>
              </w:rPr>
            </w:pPr>
            <w:r w:rsidRPr="005A17C9">
              <w:rPr>
                <w:sz w:val="20"/>
                <w:szCs w:val="20"/>
              </w:rPr>
              <w:t>Универзитет за пословне студије Бања Лука</w:t>
            </w:r>
          </w:p>
        </w:tc>
        <w:tc>
          <w:tcPr>
            <w:tcW w:w="5896" w:type="dxa"/>
            <w:vAlign w:val="center"/>
          </w:tcPr>
          <w:p w:rsidR="00637F6E" w:rsidRPr="00FE418B" w:rsidRDefault="00D9165B" w:rsidP="00D9165B">
            <w:pPr>
              <w:pStyle w:val="ListParagraph"/>
              <w:spacing w:after="0"/>
              <w:ind w:left="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sr-Cyrl-RS"/>
              </w:rPr>
            </w:pPr>
            <w:r>
              <w:rPr>
                <w:rFonts w:cstheme="minorHAnsi"/>
                <w:color w:val="000000"/>
                <w:sz w:val="20"/>
                <w:szCs w:val="20"/>
                <w:lang w:val="sr-Cyrl-RS"/>
              </w:rPr>
              <w:t>Универзитет</w:t>
            </w:r>
            <w:r w:rsidRPr="00C25509">
              <w:rPr>
                <w:rFonts w:cstheme="minorHAnsi"/>
                <w:color w:val="000000"/>
                <w:sz w:val="20"/>
                <w:szCs w:val="20"/>
                <w:lang w:val="sr-Cyrl-RS"/>
              </w:rPr>
              <w:t xml:space="preserve"> има важећу акредитацију </w:t>
            </w:r>
            <w:r>
              <w:rPr>
                <w:rFonts w:cstheme="minorHAnsi"/>
                <w:color w:val="000000"/>
                <w:sz w:val="20"/>
                <w:szCs w:val="20"/>
                <w:lang w:val="sr-Cyrl-RS"/>
              </w:rPr>
              <w:t>до окончања поступка реакредитације установе и четири</w:t>
            </w:r>
            <w:r w:rsidRPr="00C25509">
              <w:rPr>
                <w:rFonts w:cstheme="minorHAnsi"/>
                <w:color w:val="000000"/>
                <w:sz w:val="20"/>
                <w:szCs w:val="20"/>
                <w:lang w:val="sr-Cyrl-RS"/>
              </w:rPr>
              <w:t xml:space="preserve"> студијск</w:t>
            </w:r>
            <w:r>
              <w:rPr>
                <w:rFonts w:cstheme="minorHAnsi"/>
                <w:color w:val="000000"/>
                <w:sz w:val="20"/>
                <w:szCs w:val="20"/>
                <w:lang w:val="sr-Cyrl-RS"/>
              </w:rPr>
              <w:t>а</w:t>
            </w:r>
            <w:r w:rsidRPr="00C25509">
              <w:rPr>
                <w:rFonts w:cstheme="minorHAnsi"/>
                <w:color w:val="000000"/>
                <w:sz w:val="20"/>
                <w:szCs w:val="20"/>
                <w:lang w:val="sr-Cyrl-RS"/>
              </w:rPr>
              <w:t xml:space="preserve"> програма</w:t>
            </w:r>
            <w:r>
              <w:rPr>
                <w:rFonts w:cstheme="minorHAnsi"/>
                <w:color w:val="000000"/>
                <w:sz w:val="20"/>
                <w:szCs w:val="20"/>
                <w:lang w:val="sr-Cyrl-RS"/>
              </w:rPr>
              <w:t xml:space="preserve"> који је у току.</w:t>
            </w:r>
            <w:r>
              <w:rPr>
                <w:rFonts w:cstheme="minorHAnsi"/>
                <w:sz w:val="20"/>
                <w:szCs w:val="20"/>
                <w:lang w:val="sr-Cyrl-RS"/>
              </w:rPr>
              <w:t xml:space="preserve"> Универзитет је у претходном циклусу акредитовао и 12 студијских програма. </w:t>
            </w:r>
          </w:p>
        </w:tc>
      </w:tr>
      <w:tr w:rsidR="00637F6E" w:rsidTr="000C3C72">
        <w:trPr>
          <w:cnfStyle w:val="000000100000" w:firstRow="0" w:lastRow="0" w:firstColumn="0" w:lastColumn="0" w:oddVBand="0" w:evenVBand="0" w:oddHBand="1" w:evenHBand="0" w:firstRowFirstColumn="0" w:firstRowLastColumn="0" w:lastRowFirstColumn="0" w:lastRowLastColumn="0"/>
          <w:trHeight w:val="1146"/>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5</w:t>
            </w:r>
          </w:p>
        </w:tc>
        <w:tc>
          <w:tcPr>
            <w:tcW w:w="2521" w:type="dxa"/>
            <w:vAlign w:val="center"/>
          </w:tcPr>
          <w:p w:rsidR="00637F6E" w:rsidRPr="005A17C9" w:rsidRDefault="00637F6E" w:rsidP="007D66C4">
            <w:pPr>
              <w:cnfStyle w:val="000000100000" w:firstRow="0" w:lastRow="0" w:firstColumn="0" w:lastColumn="0" w:oddVBand="0" w:evenVBand="0" w:oddHBand="1" w:evenHBand="0" w:firstRowFirstColumn="0" w:firstRowLastColumn="0" w:lastRowFirstColumn="0" w:lastRowLastColumn="0"/>
              <w:rPr>
                <w:sz w:val="20"/>
                <w:szCs w:val="20"/>
              </w:rPr>
            </w:pPr>
            <w:r w:rsidRPr="005A17C9">
              <w:rPr>
                <w:sz w:val="20"/>
                <w:szCs w:val="20"/>
              </w:rPr>
              <w:t>Висока школа Banja Luka College</w:t>
            </w:r>
          </w:p>
        </w:tc>
        <w:tc>
          <w:tcPr>
            <w:tcW w:w="5896" w:type="dxa"/>
            <w:vAlign w:val="center"/>
          </w:tcPr>
          <w:p w:rsidR="003F7499" w:rsidRDefault="00D9165B" w:rsidP="00D9165B">
            <w:pPr>
              <w:pStyle w:val="ListParagraph"/>
              <w:spacing w:after="0"/>
              <w:ind w:left="0"/>
              <w:jc w:val="both"/>
              <w:cnfStyle w:val="000000100000" w:firstRow="0" w:lastRow="0" w:firstColumn="0" w:lastColumn="0" w:oddVBand="0" w:evenVBand="0" w:oddHBand="1" w:evenHBand="0" w:firstRowFirstColumn="0" w:firstRowLastColumn="0" w:lastRowFirstColumn="0" w:lastRowLastColumn="0"/>
              <w:rPr>
                <w:rFonts w:cstheme="minorHAnsi"/>
                <w:sz w:val="20"/>
                <w:szCs w:val="20"/>
                <w:lang w:val="sr-Cyrl-RS"/>
              </w:rPr>
            </w:pPr>
            <w:r>
              <w:rPr>
                <w:rFonts w:cstheme="minorHAnsi"/>
                <w:color w:val="000000"/>
                <w:sz w:val="20"/>
                <w:szCs w:val="20"/>
                <w:lang w:val="sr-Cyrl-RS"/>
              </w:rPr>
              <w:t xml:space="preserve">Висока школа </w:t>
            </w:r>
            <w:r w:rsidRPr="00C25509">
              <w:rPr>
                <w:rFonts w:cstheme="minorHAnsi"/>
                <w:color w:val="000000"/>
                <w:sz w:val="20"/>
                <w:szCs w:val="20"/>
                <w:lang w:val="sr-Cyrl-RS"/>
              </w:rPr>
              <w:t xml:space="preserve">има важећу акредитацију </w:t>
            </w:r>
            <w:r>
              <w:rPr>
                <w:rFonts w:cstheme="minorHAnsi"/>
                <w:color w:val="000000"/>
                <w:sz w:val="20"/>
                <w:szCs w:val="20"/>
                <w:lang w:val="sr-Cyrl-RS"/>
              </w:rPr>
              <w:t xml:space="preserve">до окончања поступка реакредитације установе и </w:t>
            </w:r>
            <w:r w:rsidR="00487B0C">
              <w:rPr>
                <w:rFonts w:cstheme="minorHAnsi"/>
                <w:color w:val="000000"/>
                <w:sz w:val="20"/>
                <w:szCs w:val="20"/>
                <w:lang w:val="sr-Cyrl-RS"/>
              </w:rPr>
              <w:t xml:space="preserve">реакредитације </w:t>
            </w:r>
            <w:r>
              <w:rPr>
                <w:rFonts w:cstheme="minorHAnsi"/>
                <w:color w:val="000000"/>
                <w:sz w:val="20"/>
                <w:szCs w:val="20"/>
                <w:lang w:val="sr-Cyrl-RS"/>
              </w:rPr>
              <w:t xml:space="preserve">два </w:t>
            </w:r>
            <w:r w:rsidRPr="00C25509">
              <w:rPr>
                <w:rFonts w:cstheme="minorHAnsi"/>
                <w:color w:val="000000"/>
                <w:sz w:val="20"/>
                <w:szCs w:val="20"/>
                <w:lang w:val="sr-Cyrl-RS"/>
              </w:rPr>
              <w:t>студијск</w:t>
            </w:r>
            <w:r>
              <w:rPr>
                <w:rFonts w:cstheme="minorHAnsi"/>
                <w:color w:val="000000"/>
                <w:sz w:val="20"/>
                <w:szCs w:val="20"/>
                <w:lang w:val="sr-Cyrl-RS"/>
              </w:rPr>
              <w:t>а</w:t>
            </w:r>
            <w:r w:rsidRPr="00C25509">
              <w:rPr>
                <w:rFonts w:cstheme="minorHAnsi"/>
                <w:color w:val="000000"/>
                <w:sz w:val="20"/>
                <w:szCs w:val="20"/>
                <w:lang w:val="sr-Cyrl-RS"/>
              </w:rPr>
              <w:t xml:space="preserve"> програма</w:t>
            </w:r>
            <w:r>
              <w:rPr>
                <w:rFonts w:cstheme="minorHAnsi"/>
                <w:color w:val="000000"/>
                <w:sz w:val="20"/>
                <w:szCs w:val="20"/>
                <w:lang w:val="sr-Cyrl-RS"/>
              </w:rPr>
              <w:t xml:space="preserve"> који је у току.</w:t>
            </w:r>
            <w:r>
              <w:rPr>
                <w:rFonts w:cstheme="minorHAnsi"/>
                <w:sz w:val="20"/>
                <w:szCs w:val="20"/>
                <w:lang w:val="sr-Cyrl-RS"/>
              </w:rPr>
              <w:t xml:space="preserve"> Висока школа је</w:t>
            </w:r>
          </w:p>
          <w:p w:rsidR="00637F6E" w:rsidRPr="0057736D" w:rsidRDefault="00D9165B" w:rsidP="00D9165B">
            <w:pPr>
              <w:pStyle w:val="ListParagraph"/>
              <w:spacing w:after="0"/>
              <w:ind w:left="0"/>
              <w:jc w:val="both"/>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lang w:val="sr-Cyrl-RS"/>
              </w:rPr>
            </w:pPr>
            <w:r>
              <w:rPr>
                <w:rFonts w:cstheme="minorHAnsi"/>
                <w:sz w:val="20"/>
                <w:szCs w:val="20"/>
                <w:lang w:val="sr-Cyrl-RS"/>
              </w:rPr>
              <w:t xml:space="preserve"> у претходном циклусу акредитовала </w:t>
            </w:r>
            <w:r>
              <w:rPr>
                <w:rFonts w:cstheme="minorHAnsi"/>
                <w:color w:val="000000"/>
                <w:sz w:val="20"/>
                <w:szCs w:val="20"/>
                <w:lang w:val="sr-Cyrl-RS"/>
              </w:rPr>
              <w:t xml:space="preserve">и три </w:t>
            </w:r>
            <w:r w:rsidR="00637F6E" w:rsidRPr="005A65C3">
              <w:rPr>
                <w:rFonts w:cstheme="minorHAnsi"/>
                <w:color w:val="000000"/>
                <w:sz w:val="20"/>
                <w:szCs w:val="20"/>
                <w:lang w:val="sr-Cyrl-RS"/>
              </w:rPr>
              <w:t>студијска програма.</w:t>
            </w:r>
          </w:p>
        </w:tc>
      </w:tr>
      <w:tr w:rsidR="00637F6E" w:rsidTr="00EE6A95">
        <w:trPr>
          <w:trHeight w:val="1260"/>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6</w:t>
            </w:r>
          </w:p>
        </w:tc>
        <w:tc>
          <w:tcPr>
            <w:tcW w:w="2521" w:type="dxa"/>
            <w:vAlign w:val="center"/>
          </w:tcPr>
          <w:p w:rsidR="00637F6E" w:rsidRPr="005A17C9" w:rsidRDefault="00637F6E" w:rsidP="007D66C4">
            <w:pPr>
              <w:cnfStyle w:val="000000000000" w:firstRow="0" w:lastRow="0" w:firstColumn="0" w:lastColumn="0" w:oddVBand="0" w:evenVBand="0" w:oddHBand="0" w:evenHBand="0" w:firstRowFirstColumn="0" w:firstRowLastColumn="0" w:lastRowFirstColumn="0" w:lastRowLastColumn="0"/>
              <w:rPr>
                <w:sz w:val="20"/>
                <w:szCs w:val="20"/>
              </w:rPr>
            </w:pPr>
            <w:r w:rsidRPr="005A17C9">
              <w:rPr>
                <w:sz w:val="20"/>
                <w:szCs w:val="20"/>
              </w:rPr>
              <w:t>Универзитет Синергија Бијељина</w:t>
            </w:r>
          </w:p>
        </w:tc>
        <w:tc>
          <w:tcPr>
            <w:tcW w:w="5896" w:type="dxa"/>
            <w:vAlign w:val="center"/>
          </w:tcPr>
          <w:p w:rsidR="00637F6E" w:rsidRPr="00FE418B" w:rsidRDefault="00D9165B" w:rsidP="00D9165B">
            <w:pPr>
              <w:pStyle w:val="ListParagraph"/>
              <w:spacing w:after="0"/>
              <w:ind w:left="0"/>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sr-Cyrl-RS" w:eastAsia="en-US"/>
              </w:rPr>
            </w:pPr>
            <w:r>
              <w:rPr>
                <w:rFonts w:cstheme="minorHAnsi"/>
                <w:color w:val="000000"/>
                <w:sz w:val="20"/>
                <w:szCs w:val="20"/>
                <w:lang w:val="sr-Cyrl-RS"/>
              </w:rPr>
              <w:t>Универзитет</w:t>
            </w:r>
            <w:r w:rsidRPr="00C25509">
              <w:rPr>
                <w:rFonts w:cstheme="minorHAnsi"/>
                <w:color w:val="000000"/>
                <w:sz w:val="20"/>
                <w:szCs w:val="20"/>
                <w:lang w:val="sr-Cyrl-RS"/>
              </w:rPr>
              <w:t xml:space="preserve"> има важећу акредитацију </w:t>
            </w:r>
            <w:r>
              <w:rPr>
                <w:rFonts w:cstheme="minorHAnsi"/>
                <w:color w:val="000000"/>
                <w:sz w:val="20"/>
                <w:szCs w:val="20"/>
                <w:lang w:val="sr-Cyrl-RS"/>
              </w:rPr>
              <w:t>до окончања поступка реакредитације установе и четири</w:t>
            </w:r>
            <w:r w:rsidRPr="00C25509">
              <w:rPr>
                <w:rFonts w:cstheme="minorHAnsi"/>
                <w:color w:val="000000"/>
                <w:sz w:val="20"/>
                <w:szCs w:val="20"/>
                <w:lang w:val="sr-Cyrl-RS"/>
              </w:rPr>
              <w:t xml:space="preserve"> студијск</w:t>
            </w:r>
            <w:r>
              <w:rPr>
                <w:rFonts w:cstheme="minorHAnsi"/>
                <w:color w:val="000000"/>
                <w:sz w:val="20"/>
                <w:szCs w:val="20"/>
                <w:lang w:val="sr-Cyrl-RS"/>
              </w:rPr>
              <w:t>а</w:t>
            </w:r>
            <w:r w:rsidRPr="00C25509">
              <w:rPr>
                <w:rFonts w:cstheme="minorHAnsi"/>
                <w:color w:val="000000"/>
                <w:sz w:val="20"/>
                <w:szCs w:val="20"/>
                <w:lang w:val="sr-Cyrl-RS"/>
              </w:rPr>
              <w:t xml:space="preserve"> програма</w:t>
            </w:r>
            <w:r>
              <w:rPr>
                <w:rFonts w:cstheme="minorHAnsi"/>
                <w:color w:val="000000"/>
                <w:sz w:val="20"/>
                <w:szCs w:val="20"/>
                <w:lang w:val="sr-Cyrl-RS"/>
              </w:rPr>
              <w:t xml:space="preserve"> који је у току.</w:t>
            </w:r>
            <w:r>
              <w:rPr>
                <w:rFonts w:cstheme="minorHAnsi"/>
                <w:sz w:val="20"/>
                <w:szCs w:val="20"/>
                <w:lang w:val="sr-Cyrl-RS"/>
              </w:rPr>
              <w:t xml:space="preserve"> Универзитет је у претходном циклусу акредитовао и осам студијских програма.</w:t>
            </w:r>
          </w:p>
        </w:tc>
      </w:tr>
      <w:tr w:rsidR="00637F6E" w:rsidTr="00D9165B">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7</w:t>
            </w:r>
          </w:p>
        </w:tc>
        <w:tc>
          <w:tcPr>
            <w:tcW w:w="2521" w:type="dxa"/>
            <w:vAlign w:val="center"/>
          </w:tcPr>
          <w:p w:rsidR="00637F6E" w:rsidRPr="005A17C9" w:rsidRDefault="00637F6E" w:rsidP="007D66C4">
            <w:pPr>
              <w:cnfStyle w:val="000000100000" w:firstRow="0" w:lastRow="0" w:firstColumn="0" w:lastColumn="0" w:oddVBand="0" w:evenVBand="0" w:oddHBand="1" w:evenHBand="0" w:firstRowFirstColumn="0" w:firstRowLastColumn="0" w:lastRowFirstColumn="0" w:lastRowLastColumn="0"/>
              <w:rPr>
                <w:sz w:val="20"/>
                <w:szCs w:val="20"/>
              </w:rPr>
            </w:pPr>
            <w:r w:rsidRPr="00AC59AC">
              <w:rPr>
                <w:sz w:val="20"/>
                <w:szCs w:val="20"/>
              </w:rPr>
              <w:t>Висока школа за услужни бизнис Источно Сарајево</w:t>
            </w:r>
            <w:r w:rsidRPr="00AC59AC">
              <w:rPr>
                <w:sz w:val="20"/>
                <w:szCs w:val="20"/>
                <w:lang w:val="sr-Cyrl-RS"/>
              </w:rPr>
              <w:t xml:space="preserve"> </w:t>
            </w:r>
            <w:r w:rsidRPr="00AC59AC">
              <w:rPr>
                <w:sz w:val="20"/>
                <w:szCs w:val="20"/>
              </w:rPr>
              <w:t>-Соколац</w:t>
            </w:r>
          </w:p>
        </w:tc>
        <w:tc>
          <w:tcPr>
            <w:tcW w:w="5896" w:type="dxa"/>
            <w:vAlign w:val="center"/>
          </w:tcPr>
          <w:p w:rsidR="00AC59AC" w:rsidRPr="00B44F78" w:rsidRDefault="00D9165B" w:rsidP="00AC59AC">
            <w:pPr>
              <w:pStyle w:val="ListParagraph"/>
              <w:spacing w:after="0"/>
              <w:ind w:left="0"/>
              <w:jc w:val="both"/>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lang w:val="sr-Cyrl-RS" w:eastAsia="en-US"/>
              </w:rPr>
            </w:pPr>
            <w:r>
              <w:rPr>
                <w:rFonts w:eastAsia="Calibri" w:cstheme="minorHAnsi"/>
                <w:sz w:val="20"/>
                <w:szCs w:val="20"/>
                <w:lang w:val="sr-Cyrl-RS" w:eastAsia="en-US"/>
              </w:rPr>
              <w:t>Висока школа</w:t>
            </w:r>
            <w:r w:rsidR="00637F6E">
              <w:rPr>
                <w:rFonts w:eastAsia="Calibri" w:cstheme="minorHAnsi"/>
                <w:sz w:val="20"/>
                <w:szCs w:val="20"/>
                <w:lang w:val="sr-Cyrl-RS" w:eastAsia="en-US"/>
              </w:rPr>
              <w:t xml:space="preserve"> има важећу акредитацију </w:t>
            </w:r>
            <w:r w:rsidR="00637F6E" w:rsidRPr="00505A4E">
              <w:rPr>
                <w:rFonts w:eastAsia="Calibri" w:cstheme="minorHAnsi"/>
                <w:sz w:val="20"/>
                <w:szCs w:val="20"/>
                <w:lang w:val="sr-Cyrl-RS" w:eastAsia="en-US"/>
              </w:rPr>
              <w:t xml:space="preserve"> високошколске установе и </w:t>
            </w:r>
            <w:r w:rsidR="00637F6E">
              <w:rPr>
                <w:rFonts w:eastAsia="Calibri" w:cstheme="minorHAnsi"/>
                <w:sz w:val="20"/>
                <w:szCs w:val="20"/>
                <w:lang w:val="sr-Cyrl-RS" w:eastAsia="en-US"/>
              </w:rPr>
              <w:t>једног студијског програма.</w:t>
            </w:r>
            <w:r w:rsidR="00AC59AC">
              <w:rPr>
                <w:rFonts w:eastAsia="Calibri" w:cstheme="minorHAnsi"/>
                <w:sz w:val="20"/>
                <w:szCs w:val="20"/>
                <w:lang w:val="sr-Cyrl-RS" w:eastAsia="en-US"/>
              </w:rPr>
              <w:t xml:space="preserve"> Ажурирана</w:t>
            </w:r>
            <w:r w:rsidR="009026FB">
              <w:rPr>
                <w:rFonts w:eastAsia="Calibri" w:cstheme="minorHAnsi"/>
                <w:sz w:val="20"/>
                <w:szCs w:val="20"/>
                <w:lang w:val="sr-Cyrl-RS" w:eastAsia="en-US"/>
              </w:rPr>
              <w:t xml:space="preserve"> је</w:t>
            </w:r>
            <w:r w:rsidR="00AC59AC">
              <w:rPr>
                <w:rFonts w:eastAsia="Calibri" w:cstheme="minorHAnsi"/>
                <w:sz w:val="20"/>
                <w:szCs w:val="20"/>
                <w:lang w:val="sr-Cyrl-RS" w:eastAsia="en-US"/>
              </w:rPr>
              <w:t xml:space="preserve"> документација за  </w:t>
            </w:r>
            <w:r w:rsidR="00AC59AC">
              <w:rPr>
                <w:rFonts w:cstheme="minorHAnsi"/>
                <w:sz w:val="20"/>
                <w:szCs w:val="20"/>
                <w:lang w:val="sr-Cyrl-RS"/>
              </w:rPr>
              <w:t xml:space="preserve">тематско вредновања </w:t>
            </w:r>
            <w:r w:rsidR="00AC59AC" w:rsidRPr="00505A4E">
              <w:rPr>
                <w:rFonts w:cstheme="minorHAnsi"/>
                <w:sz w:val="20"/>
                <w:szCs w:val="20"/>
                <w:lang w:val="sr-Cyrl-RS"/>
              </w:rPr>
              <w:t xml:space="preserve">установе и студијског програма </w:t>
            </w:r>
            <w:r w:rsidR="00AC59AC">
              <w:rPr>
                <w:rFonts w:cstheme="minorHAnsi"/>
                <w:sz w:val="20"/>
                <w:szCs w:val="20"/>
                <w:lang w:val="sr-Cyrl-RS"/>
              </w:rPr>
              <w:t>у односу</w:t>
            </w:r>
            <w:r w:rsidR="00AC59AC" w:rsidRPr="00505A4E">
              <w:rPr>
                <w:rFonts w:cstheme="minorHAnsi"/>
                <w:sz w:val="20"/>
                <w:szCs w:val="20"/>
                <w:lang w:val="sr-Cyrl-RS"/>
              </w:rPr>
              <w:t xml:space="preserve"> на критеријум Креирање и усвајање студијских програма и </w:t>
            </w:r>
            <w:r w:rsidR="00AC59AC">
              <w:rPr>
                <w:rFonts w:cstheme="minorHAnsi"/>
                <w:sz w:val="20"/>
                <w:szCs w:val="20"/>
                <w:lang w:val="sr-Cyrl-RS"/>
              </w:rPr>
              <w:t xml:space="preserve">критеријум </w:t>
            </w:r>
            <w:r w:rsidR="00AC59AC" w:rsidRPr="00505A4E">
              <w:rPr>
                <w:rFonts w:cstheme="minorHAnsi"/>
                <w:sz w:val="20"/>
                <w:szCs w:val="20"/>
                <w:lang w:val="sr-Cyrl-RS"/>
              </w:rPr>
              <w:t>Људски ресурси</w:t>
            </w:r>
            <w:r w:rsidR="00AC59AC">
              <w:rPr>
                <w:rFonts w:cstheme="minorHAnsi"/>
                <w:sz w:val="20"/>
                <w:szCs w:val="20"/>
                <w:lang w:val="sr-Cyrl-RS"/>
              </w:rPr>
              <w:t xml:space="preserve">. </w:t>
            </w:r>
            <w:r w:rsidR="00AC59AC" w:rsidRPr="00505A4E">
              <w:rPr>
                <w:rFonts w:cstheme="minorHAnsi"/>
                <w:sz w:val="20"/>
                <w:szCs w:val="20"/>
                <w:lang w:val="sr-Cyrl-RS"/>
              </w:rPr>
              <w:t xml:space="preserve"> </w:t>
            </w:r>
          </w:p>
        </w:tc>
      </w:tr>
      <w:tr w:rsidR="00637F6E" w:rsidTr="000C3C72">
        <w:trPr>
          <w:trHeight w:val="606"/>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8</w:t>
            </w:r>
          </w:p>
        </w:tc>
        <w:tc>
          <w:tcPr>
            <w:tcW w:w="2521" w:type="dxa"/>
            <w:vAlign w:val="center"/>
          </w:tcPr>
          <w:p w:rsidR="00637F6E" w:rsidRPr="005A17C9" w:rsidRDefault="00637F6E" w:rsidP="007D66C4">
            <w:pPr>
              <w:cnfStyle w:val="000000000000" w:firstRow="0" w:lastRow="0" w:firstColumn="0" w:lastColumn="0" w:oddVBand="0" w:evenVBand="0" w:oddHBand="0" w:evenHBand="0" w:firstRowFirstColumn="0" w:firstRowLastColumn="0" w:lastRowFirstColumn="0" w:lastRowLastColumn="0"/>
              <w:rPr>
                <w:sz w:val="20"/>
                <w:szCs w:val="20"/>
              </w:rPr>
            </w:pPr>
            <w:r w:rsidRPr="005A17C9">
              <w:rPr>
                <w:sz w:val="20"/>
                <w:szCs w:val="20"/>
              </w:rPr>
              <w:t>Слобомир П Универзитет</w:t>
            </w:r>
          </w:p>
        </w:tc>
        <w:tc>
          <w:tcPr>
            <w:tcW w:w="5896" w:type="dxa"/>
            <w:vAlign w:val="center"/>
          </w:tcPr>
          <w:p w:rsidR="00637F6E" w:rsidRPr="00505A4E" w:rsidRDefault="00637F6E" w:rsidP="00D9165B">
            <w:pPr>
              <w:shd w:val="clear" w:color="auto" w:fill="FFFFFF"/>
              <w:spacing w:line="276" w:lineRule="auto"/>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sr-Cyrl-RS"/>
              </w:rPr>
            </w:pPr>
            <w:r>
              <w:rPr>
                <w:rFonts w:cstheme="minorHAnsi"/>
                <w:color w:val="000000"/>
                <w:sz w:val="20"/>
                <w:szCs w:val="20"/>
                <w:lang w:val="sr-Cyrl-RS"/>
              </w:rPr>
              <w:t>Високошколска установа има важећу акредитацију високошколске установе и 13 студијских програма.</w:t>
            </w:r>
          </w:p>
        </w:tc>
      </w:tr>
      <w:tr w:rsidR="00637F6E" w:rsidTr="00D9165B">
        <w:trPr>
          <w:cnfStyle w:val="000000100000" w:firstRow="0" w:lastRow="0" w:firstColumn="0" w:lastColumn="0" w:oddVBand="0" w:evenVBand="0" w:oddHBand="1" w:evenHBand="0" w:firstRowFirstColumn="0" w:firstRowLastColumn="0" w:lastRowFirstColumn="0" w:lastRowLastColumn="0"/>
          <w:trHeight w:val="977"/>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9</w:t>
            </w:r>
          </w:p>
        </w:tc>
        <w:tc>
          <w:tcPr>
            <w:tcW w:w="2521" w:type="dxa"/>
            <w:vAlign w:val="center"/>
          </w:tcPr>
          <w:p w:rsidR="00637F6E" w:rsidRPr="005A17C9" w:rsidRDefault="00637F6E" w:rsidP="007D66C4">
            <w:pPr>
              <w:cnfStyle w:val="000000100000" w:firstRow="0" w:lastRow="0" w:firstColumn="0" w:lastColumn="0" w:oddVBand="0" w:evenVBand="0" w:oddHBand="1" w:evenHBand="0" w:firstRowFirstColumn="0" w:firstRowLastColumn="0" w:lastRowFirstColumn="0" w:lastRowLastColumn="0"/>
              <w:rPr>
                <w:sz w:val="20"/>
                <w:szCs w:val="20"/>
              </w:rPr>
            </w:pPr>
            <w:r w:rsidRPr="005A17C9">
              <w:rPr>
                <w:sz w:val="20"/>
                <w:szCs w:val="20"/>
              </w:rPr>
              <w:t>Паневропски универзитет Апеирон, Бања Лука</w:t>
            </w:r>
          </w:p>
        </w:tc>
        <w:tc>
          <w:tcPr>
            <w:tcW w:w="5896" w:type="dxa"/>
            <w:vAlign w:val="center"/>
          </w:tcPr>
          <w:p w:rsidR="00637F6E" w:rsidRPr="00861D1C" w:rsidRDefault="00637F6E" w:rsidP="003F7499">
            <w:pPr>
              <w:pStyle w:val="ListParagraph"/>
              <w:spacing w:after="0"/>
              <w:ind w:left="0"/>
              <w:jc w:val="both"/>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lang w:val="sr-Cyrl-RS"/>
              </w:rPr>
            </w:pPr>
            <w:r>
              <w:rPr>
                <w:rFonts w:cstheme="minorHAnsi"/>
                <w:color w:val="000000"/>
                <w:sz w:val="20"/>
                <w:szCs w:val="20"/>
                <w:lang w:val="sr-Cyrl-RS"/>
              </w:rPr>
              <w:t xml:space="preserve">Високошколска установа има важећу акредитацију високошколске установе и </w:t>
            </w:r>
            <w:r w:rsidR="00D9165B">
              <w:rPr>
                <w:rFonts w:cstheme="minorHAnsi"/>
                <w:color w:val="000000"/>
                <w:sz w:val="20"/>
                <w:szCs w:val="20"/>
                <w:lang w:val="sr-Cyrl-RS"/>
              </w:rPr>
              <w:t>седам</w:t>
            </w:r>
            <w:r>
              <w:rPr>
                <w:rFonts w:cstheme="minorHAnsi"/>
                <w:color w:val="000000"/>
                <w:sz w:val="20"/>
                <w:szCs w:val="20"/>
                <w:lang w:val="sr-Cyrl-RS"/>
              </w:rPr>
              <w:t xml:space="preserve"> студијских програма. </w:t>
            </w:r>
            <w:r w:rsidR="003F7499">
              <w:rPr>
                <w:rFonts w:cstheme="minorHAnsi"/>
                <w:color w:val="000000"/>
                <w:sz w:val="20"/>
                <w:szCs w:val="20"/>
                <w:lang w:val="sr-Cyrl-RS"/>
              </w:rPr>
              <w:t xml:space="preserve">У поступку </w:t>
            </w:r>
            <w:r w:rsidR="003F7499" w:rsidRPr="003F7499">
              <w:rPr>
                <w:rFonts w:cstheme="minorHAnsi"/>
                <w:color w:val="000000"/>
                <w:sz w:val="20"/>
                <w:szCs w:val="20"/>
              </w:rPr>
              <w:t>акредитација два студијска програма након писма очекивања</w:t>
            </w:r>
          </w:p>
        </w:tc>
      </w:tr>
      <w:tr w:rsidR="00637F6E" w:rsidTr="007D66C4">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10</w:t>
            </w:r>
          </w:p>
        </w:tc>
        <w:tc>
          <w:tcPr>
            <w:tcW w:w="2521" w:type="dxa"/>
            <w:vAlign w:val="center"/>
          </w:tcPr>
          <w:p w:rsidR="00637F6E" w:rsidRPr="005A17C9" w:rsidRDefault="00637F6E" w:rsidP="007D66C4">
            <w:pPr>
              <w:cnfStyle w:val="000000000000" w:firstRow="0" w:lastRow="0" w:firstColumn="0" w:lastColumn="0" w:oddVBand="0" w:evenVBand="0" w:oddHBand="0" w:evenHBand="0" w:firstRowFirstColumn="0" w:firstRowLastColumn="0" w:lastRowFirstColumn="0" w:lastRowLastColumn="0"/>
              <w:rPr>
                <w:sz w:val="20"/>
                <w:szCs w:val="20"/>
              </w:rPr>
            </w:pPr>
            <w:r w:rsidRPr="005A17C9">
              <w:rPr>
                <w:sz w:val="20"/>
                <w:szCs w:val="20"/>
              </w:rPr>
              <w:t xml:space="preserve">Висока школа </w:t>
            </w:r>
            <w:r>
              <w:rPr>
                <w:sz w:val="20"/>
                <w:szCs w:val="20"/>
              </w:rPr>
              <w:t xml:space="preserve">за примијењене и правне науке </w:t>
            </w:r>
            <w:r>
              <w:rPr>
                <w:sz w:val="20"/>
                <w:szCs w:val="20"/>
                <w:lang w:val="sr-Cyrl-BA"/>
              </w:rPr>
              <w:t>„</w:t>
            </w:r>
            <w:r>
              <w:rPr>
                <w:sz w:val="20"/>
                <w:szCs w:val="20"/>
              </w:rPr>
              <w:t>Прометеј”</w:t>
            </w:r>
            <w:r>
              <w:rPr>
                <w:sz w:val="20"/>
                <w:szCs w:val="20"/>
                <w:lang w:val="sr-Cyrl-BA"/>
              </w:rPr>
              <w:t xml:space="preserve"> </w:t>
            </w:r>
            <w:r w:rsidRPr="005A17C9">
              <w:rPr>
                <w:sz w:val="20"/>
                <w:szCs w:val="20"/>
              </w:rPr>
              <w:t xml:space="preserve"> Бања Лука</w:t>
            </w:r>
          </w:p>
        </w:tc>
        <w:tc>
          <w:tcPr>
            <w:tcW w:w="5896" w:type="dxa"/>
            <w:vAlign w:val="center"/>
          </w:tcPr>
          <w:p w:rsidR="00637F6E" w:rsidRPr="006142B2" w:rsidRDefault="00637F6E" w:rsidP="00EE6A95">
            <w:pPr>
              <w:pStyle w:val="ListParagraph"/>
              <w:spacing w:after="0"/>
              <w:ind w:left="0"/>
              <w:cnfStyle w:val="000000000000" w:firstRow="0" w:lastRow="0" w:firstColumn="0" w:lastColumn="0" w:oddVBand="0" w:evenVBand="0" w:oddHBand="0" w:evenHBand="0" w:firstRowFirstColumn="0" w:firstRowLastColumn="0" w:lastRowFirstColumn="0" w:lastRowLastColumn="0"/>
              <w:rPr>
                <w:rFonts w:cstheme="minorHAnsi"/>
                <w:b/>
                <w:sz w:val="20"/>
                <w:szCs w:val="20"/>
                <w:lang w:val="sr-Cyrl-RS"/>
              </w:rPr>
            </w:pPr>
            <w:r>
              <w:rPr>
                <w:rFonts w:eastAsia="Calibri" w:cstheme="minorHAnsi"/>
                <w:sz w:val="20"/>
                <w:szCs w:val="20"/>
                <w:lang w:val="sr-Cyrl-RS" w:eastAsia="en-US"/>
              </w:rPr>
              <w:t>Дон</w:t>
            </w:r>
            <w:r w:rsidRPr="008E6511">
              <w:rPr>
                <w:rFonts w:eastAsia="Calibri" w:cstheme="minorHAnsi"/>
                <w:sz w:val="20"/>
                <w:szCs w:val="20"/>
                <w:lang w:val="sr-Cyrl-RS" w:eastAsia="en-US"/>
              </w:rPr>
              <w:t>е</w:t>
            </w:r>
            <w:r>
              <w:rPr>
                <w:rFonts w:eastAsia="Calibri" w:cstheme="minorHAnsi"/>
                <w:sz w:val="20"/>
                <w:szCs w:val="20"/>
                <w:lang w:val="sr-Cyrl-RS" w:eastAsia="en-US"/>
              </w:rPr>
              <w:t>сено је рјешење</w:t>
            </w:r>
            <w:r w:rsidRPr="008E6511">
              <w:rPr>
                <w:rFonts w:eastAsia="Calibri" w:cstheme="minorHAnsi"/>
                <w:sz w:val="20"/>
                <w:szCs w:val="20"/>
                <w:lang w:val="sr-Cyrl-RS" w:eastAsia="en-US"/>
              </w:rPr>
              <w:t xml:space="preserve"> о одбијању захтјева за акредитацију високошколске установе и студијских програма</w:t>
            </w:r>
            <w:r w:rsidR="00EE6A95">
              <w:rPr>
                <w:rFonts w:eastAsia="Calibri" w:cstheme="minorHAnsi"/>
                <w:sz w:val="20"/>
                <w:szCs w:val="20"/>
                <w:lang w:val="sr-Cyrl-RS" w:eastAsia="en-US"/>
              </w:rPr>
              <w:t xml:space="preserve">  Транспортно инжењерство и Пословна економија </w:t>
            </w:r>
            <w:r>
              <w:rPr>
                <w:rFonts w:eastAsia="Calibri" w:cstheme="minorHAnsi"/>
                <w:sz w:val="20"/>
                <w:szCs w:val="20"/>
                <w:lang w:val="sr-Cyrl-RS" w:eastAsia="en-US"/>
              </w:rPr>
              <w:t xml:space="preserve"> </w:t>
            </w:r>
            <w:r w:rsidR="00EE6A95">
              <w:rPr>
                <w:rFonts w:eastAsia="Calibri" w:cstheme="minorHAnsi"/>
                <w:sz w:val="20"/>
                <w:szCs w:val="20"/>
                <w:lang w:val="sr-Cyrl-RS" w:eastAsia="en-US"/>
              </w:rPr>
              <w:t>(јуни  2024. године)</w:t>
            </w:r>
          </w:p>
        </w:tc>
      </w:tr>
      <w:tr w:rsidR="00637F6E" w:rsidTr="007D66C4">
        <w:trPr>
          <w:cnfStyle w:val="000000100000" w:firstRow="0" w:lastRow="0" w:firstColumn="0" w:lastColumn="0" w:oddVBand="0" w:evenVBand="0" w:oddHBand="1" w:evenHBand="0" w:firstRowFirstColumn="0" w:firstRowLastColumn="0" w:lastRowFirstColumn="0" w:lastRowLastColumn="0"/>
          <w:trHeight w:val="862"/>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11</w:t>
            </w:r>
          </w:p>
        </w:tc>
        <w:tc>
          <w:tcPr>
            <w:tcW w:w="2521" w:type="dxa"/>
            <w:vAlign w:val="center"/>
          </w:tcPr>
          <w:p w:rsidR="00637F6E" w:rsidRPr="005A17C9" w:rsidRDefault="00637F6E" w:rsidP="007D66C4">
            <w:pPr>
              <w:cnfStyle w:val="000000100000" w:firstRow="0" w:lastRow="0" w:firstColumn="0" w:lastColumn="0" w:oddVBand="0" w:evenVBand="0" w:oddHBand="1" w:evenHBand="0" w:firstRowFirstColumn="0" w:firstRowLastColumn="0" w:lastRowFirstColumn="0" w:lastRowLastColumn="0"/>
              <w:rPr>
                <w:sz w:val="20"/>
                <w:szCs w:val="20"/>
              </w:rPr>
            </w:pPr>
            <w:r w:rsidRPr="005A17C9">
              <w:rPr>
                <w:sz w:val="20"/>
                <w:szCs w:val="20"/>
              </w:rPr>
              <w:t>Висока пословно техничка школа Добој</w:t>
            </w:r>
          </w:p>
        </w:tc>
        <w:tc>
          <w:tcPr>
            <w:tcW w:w="5896" w:type="dxa"/>
            <w:vAlign w:val="center"/>
          </w:tcPr>
          <w:p w:rsidR="00637F6E" w:rsidRPr="00E07EDD" w:rsidRDefault="00EE6A95" w:rsidP="00EE6A95">
            <w:pPr>
              <w:spacing w:line="276" w:lineRule="auto"/>
              <w:jc w:val="both"/>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lang w:val="sr-Cyrl-RS"/>
              </w:rPr>
            </w:pPr>
            <w:r>
              <w:rPr>
                <w:rFonts w:cstheme="minorHAnsi"/>
                <w:color w:val="000000"/>
                <w:sz w:val="20"/>
                <w:szCs w:val="20"/>
                <w:lang w:val="sr-Cyrl-RS"/>
              </w:rPr>
              <w:t xml:space="preserve">Висока школа </w:t>
            </w:r>
            <w:r w:rsidRPr="00C25509">
              <w:rPr>
                <w:rFonts w:cstheme="minorHAnsi"/>
                <w:color w:val="000000"/>
                <w:sz w:val="20"/>
                <w:szCs w:val="20"/>
                <w:lang w:val="sr-Cyrl-RS"/>
              </w:rPr>
              <w:t xml:space="preserve">има важећу акредитацију </w:t>
            </w:r>
            <w:r>
              <w:rPr>
                <w:rFonts w:cstheme="minorHAnsi"/>
                <w:color w:val="000000"/>
                <w:sz w:val="20"/>
                <w:szCs w:val="20"/>
                <w:lang w:val="sr-Cyrl-RS"/>
              </w:rPr>
              <w:t>до окончања поступка реакредитације установе и једног</w:t>
            </w:r>
            <w:r w:rsidRPr="00C25509">
              <w:rPr>
                <w:rFonts w:cstheme="minorHAnsi"/>
                <w:color w:val="000000"/>
                <w:sz w:val="20"/>
                <w:szCs w:val="20"/>
                <w:lang w:val="sr-Cyrl-RS"/>
              </w:rPr>
              <w:t xml:space="preserve"> студијск</w:t>
            </w:r>
            <w:r>
              <w:rPr>
                <w:rFonts w:cstheme="minorHAnsi"/>
                <w:color w:val="000000"/>
                <w:sz w:val="20"/>
                <w:szCs w:val="20"/>
                <w:lang w:val="sr-Cyrl-RS"/>
              </w:rPr>
              <w:t>огт</w:t>
            </w:r>
            <w:r w:rsidRPr="00C25509">
              <w:rPr>
                <w:rFonts w:cstheme="minorHAnsi"/>
                <w:color w:val="000000"/>
                <w:sz w:val="20"/>
                <w:szCs w:val="20"/>
                <w:lang w:val="sr-Cyrl-RS"/>
              </w:rPr>
              <w:t xml:space="preserve"> програма</w:t>
            </w:r>
            <w:r>
              <w:rPr>
                <w:rFonts w:cstheme="minorHAnsi"/>
                <w:color w:val="000000"/>
                <w:sz w:val="20"/>
                <w:szCs w:val="20"/>
                <w:lang w:val="sr-Cyrl-RS"/>
              </w:rPr>
              <w:t xml:space="preserve"> који је у току.</w:t>
            </w:r>
            <w:r>
              <w:rPr>
                <w:rFonts w:cstheme="minorHAnsi"/>
                <w:sz w:val="20"/>
                <w:szCs w:val="20"/>
                <w:lang w:val="sr-Cyrl-RS"/>
              </w:rPr>
              <w:t xml:space="preserve">  </w:t>
            </w:r>
          </w:p>
        </w:tc>
      </w:tr>
      <w:tr w:rsidR="00637F6E" w:rsidTr="00EE6A95">
        <w:trPr>
          <w:trHeight w:val="862"/>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12</w:t>
            </w:r>
          </w:p>
        </w:tc>
        <w:tc>
          <w:tcPr>
            <w:tcW w:w="2521" w:type="dxa"/>
            <w:vAlign w:val="center"/>
          </w:tcPr>
          <w:p w:rsidR="00637F6E" w:rsidRPr="005A17C9" w:rsidRDefault="00637F6E" w:rsidP="007D66C4">
            <w:pPr>
              <w:cnfStyle w:val="000000000000" w:firstRow="0" w:lastRow="0" w:firstColumn="0" w:lastColumn="0" w:oddVBand="0" w:evenVBand="0" w:oddHBand="0" w:evenHBand="0" w:firstRowFirstColumn="0" w:firstRowLastColumn="0" w:lastRowFirstColumn="0" w:lastRowLastColumn="0"/>
              <w:rPr>
                <w:sz w:val="20"/>
                <w:szCs w:val="20"/>
              </w:rPr>
            </w:pPr>
            <w:r w:rsidRPr="005A17C9">
              <w:rPr>
                <w:sz w:val="20"/>
                <w:szCs w:val="20"/>
              </w:rPr>
              <w:t>Универзитет за пословни инжењеринг и менаџмент Бања Лука</w:t>
            </w:r>
          </w:p>
        </w:tc>
        <w:tc>
          <w:tcPr>
            <w:tcW w:w="5896" w:type="dxa"/>
            <w:vAlign w:val="center"/>
          </w:tcPr>
          <w:p w:rsidR="00637F6E" w:rsidRPr="0057420B" w:rsidRDefault="00EE6A95" w:rsidP="00EE6A95">
            <w:pPr>
              <w:pStyle w:val="ListParagraph"/>
              <w:spacing w:after="0"/>
              <w:ind w:left="0"/>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highlight w:val="green"/>
                <w:lang w:val="sr-Cyrl-RS" w:eastAsia="en-US"/>
              </w:rPr>
            </w:pPr>
            <w:r>
              <w:rPr>
                <w:rFonts w:cstheme="minorHAnsi"/>
                <w:color w:val="000000"/>
                <w:sz w:val="20"/>
                <w:szCs w:val="20"/>
                <w:lang w:val="sr-Cyrl-RS"/>
              </w:rPr>
              <w:t>Универзитет</w:t>
            </w:r>
            <w:r w:rsidRPr="00C25509">
              <w:rPr>
                <w:rFonts w:cstheme="minorHAnsi"/>
                <w:color w:val="000000"/>
                <w:sz w:val="20"/>
                <w:szCs w:val="20"/>
                <w:lang w:val="sr-Cyrl-RS"/>
              </w:rPr>
              <w:t xml:space="preserve"> има важећу акредитацију </w:t>
            </w:r>
            <w:r>
              <w:rPr>
                <w:rFonts w:cstheme="minorHAnsi"/>
                <w:color w:val="000000"/>
                <w:sz w:val="20"/>
                <w:szCs w:val="20"/>
                <w:lang w:val="sr-Cyrl-RS"/>
              </w:rPr>
              <w:t>до окончања поступка реакредитације установе и осам</w:t>
            </w:r>
            <w:r w:rsidRPr="00C25509">
              <w:rPr>
                <w:rFonts w:cstheme="minorHAnsi"/>
                <w:color w:val="000000"/>
                <w:sz w:val="20"/>
                <w:szCs w:val="20"/>
                <w:lang w:val="sr-Cyrl-RS"/>
              </w:rPr>
              <w:t xml:space="preserve"> студијск</w:t>
            </w:r>
            <w:r>
              <w:rPr>
                <w:rFonts w:cstheme="minorHAnsi"/>
                <w:color w:val="000000"/>
                <w:sz w:val="20"/>
                <w:szCs w:val="20"/>
                <w:lang w:val="sr-Cyrl-RS"/>
              </w:rPr>
              <w:t>их</w:t>
            </w:r>
            <w:r w:rsidRPr="00C25509">
              <w:rPr>
                <w:rFonts w:cstheme="minorHAnsi"/>
                <w:color w:val="000000"/>
                <w:sz w:val="20"/>
                <w:szCs w:val="20"/>
                <w:lang w:val="sr-Cyrl-RS"/>
              </w:rPr>
              <w:t xml:space="preserve"> програма</w:t>
            </w:r>
            <w:r>
              <w:rPr>
                <w:rFonts w:cstheme="minorHAnsi"/>
                <w:color w:val="000000"/>
                <w:sz w:val="20"/>
                <w:szCs w:val="20"/>
                <w:lang w:val="sr-Cyrl-RS"/>
              </w:rPr>
              <w:t xml:space="preserve"> који је у току.</w:t>
            </w:r>
            <w:r>
              <w:rPr>
                <w:rFonts w:cstheme="minorHAnsi"/>
                <w:sz w:val="20"/>
                <w:szCs w:val="20"/>
                <w:lang w:val="sr-Cyrl-RS"/>
              </w:rPr>
              <w:t xml:space="preserve"> </w:t>
            </w:r>
          </w:p>
        </w:tc>
      </w:tr>
      <w:tr w:rsidR="00637F6E" w:rsidTr="000C3C72">
        <w:trPr>
          <w:cnfStyle w:val="000000100000" w:firstRow="0" w:lastRow="0" w:firstColumn="0" w:lastColumn="0" w:oddVBand="0" w:evenVBand="0" w:oddHBand="1" w:evenHBand="0" w:firstRowFirstColumn="0" w:firstRowLastColumn="0" w:lastRowFirstColumn="0" w:lastRowLastColumn="0"/>
          <w:trHeight w:val="1048"/>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13</w:t>
            </w:r>
          </w:p>
        </w:tc>
        <w:tc>
          <w:tcPr>
            <w:tcW w:w="2521" w:type="dxa"/>
            <w:vAlign w:val="center"/>
          </w:tcPr>
          <w:p w:rsidR="00637F6E" w:rsidRPr="005A17C9" w:rsidRDefault="00637F6E" w:rsidP="007D66C4">
            <w:pPr>
              <w:cnfStyle w:val="000000100000" w:firstRow="0" w:lastRow="0" w:firstColumn="0" w:lastColumn="0" w:oddVBand="0" w:evenVBand="0" w:oddHBand="1" w:evenHBand="0" w:firstRowFirstColumn="0" w:firstRowLastColumn="0" w:lastRowFirstColumn="0" w:lastRowLastColumn="0"/>
              <w:rPr>
                <w:sz w:val="20"/>
                <w:szCs w:val="20"/>
              </w:rPr>
            </w:pPr>
            <w:r w:rsidRPr="005A17C9">
              <w:rPr>
                <w:sz w:val="20"/>
                <w:szCs w:val="20"/>
              </w:rPr>
              <w:t>Висока школа за економију и информатику Приједор</w:t>
            </w:r>
          </w:p>
        </w:tc>
        <w:tc>
          <w:tcPr>
            <w:tcW w:w="5896" w:type="dxa"/>
            <w:vAlign w:val="center"/>
          </w:tcPr>
          <w:p w:rsidR="00637F6E" w:rsidRPr="00FD6ADB" w:rsidRDefault="009026FB" w:rsidP="009026FB">
            <w:pPr>
              <w:pStyle w:val="ListParagraph"/>
              <w:spacing w:after="0"/>
              <w:ind w:left="0"/>
              <w:jc w:val="both"/>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lang w:val="sr-Cyrl-RS"/>
              </w:rPr>
            </w:pPr>
            <w:r w:rsidRPr="009026FB">
              <w:rPr>
                <w:rFonts w:cstheme="minorHAnsi"/>
                <w:color w:val="000000"/>
                <w:sz w:val="20"/>
                <w:szCs w:val="20"/>
                <w:lang w:val="sr-Cyrl-RS"/>
              </w:rPr>
              <w:t>Након издавања рјешења о одбијању акредитације за установу и студијски програм и доношења пресуд</w:t>
            </w:r>
            <w:r w:rsidR="00FD6ADB">
              <w:rPr>
                <w:rFonts w:cstheme="minorHAnsi"/>
                <w:color w:val="000000"/>
                <w:sz w:val="20"/>
                <w:szCs w:val="20"/>
                <w:lang w:val="sr-Cyrl-RS"/>
              </w:rPr>
              <w:t>а</w:t>
            </w:r>
            <w:r w:rsidRPr="009026FB">
              <w:rPr>
                <w:rFonts w:cstheme="minorHAnsi"/>
                <w:color w:val="000000"/>
                <w:sz w:val="20"/>
                <w:szCs w:val="20"/>
                <w:lang w:val="sr-Cyrl-RS"/>
              </w:rPr>
              <w:t xml:space="preserve"> о поништавању аката Агенције, у поступку извршавања пресуде Окружног</w:t>
            </w:r>
            <w:r w:rsidR="00FD6ADB">
              <w:rPr>
                <w:rFonts w:cstheme="minorHAnsi"/>
                <w:color w:val="000000"/>
                <w:sz w:val="20"/>
                <w:szCs w:val="20"/>
                <w:lang w:val="sr-Cyrl-RS"/>
              </w:rPr>
              <w:t xml:space="preserve"> суда</w:t>
            </w:r>
            <w:r w:rsidRPr="009026FB">
              <w:rPr>
                <w:rFonts w:cstheme="minorHAnsi"/>
                <w:color w:val="000000"/>
                <w:sz w:val="20"/>
                <w:szCs w:val="20"/>
                <w:lang w:val="sr-Cyrl-RS"/>
              </w:rPr>
              <w:t xml:space="preserve"> донесено је</w:t>
            </w:r>
            <w:r w:rsidR="00FD6ADB">
              <w:rPr>
                <w:rFonts w:cstheme="minorHAnsi"/>
                <w:color w:val="000000"/>
                <w:sz w:val="20"/>
                <w:szCs w:val="20"/>
                <w:lang w:val="sr-Cyrl-RS"/>
              </w:rPr>
              <w:t xml:space="preserve"> </w:t>
            </w:r>
            <w:r w:rsidR="00637F6E" w:rsidRPr="009026FB">
              <w:rPr>
                <w:rFonts w:cstheme="minorHAnsi"/>
                <w:color w:val="000000"/>
                <w:sz w:val="20"/>
                <w:szCs w:val="20"/>
                <w:lang w:val="sr-Cyrl-RS"/>
              </w:rPr>
              <w:t>писмо очекивања</w:t>
            </w:r>
            <w:r w:rsidR="00FD6ADB">
              <w:rPr>
                <w:rFonts w:cstheme="minorHAnsi"/>
                <w:color w:val="000000"/>
                <w:sz w:val="20"/>
                <w:szCs w:val="20"/>
                <w:lang w:val="sr-Cyrl-RS"/>
              </w:rPr>
              <w:t xml:space="preserve"> з</w:t>
            </w:r>
            <w:r w:rsidRPr="009026FB">
              <w:rPr>
                <w:rFonts w:cstheme="minorHAnsi"/>
                <w:color w:val="000000"/>
                <w:sz w:val="20"/>
                <w:szCs w:val="20"/>
                <w:lang w:val="sr-Cyrl-RS"/>
              </w:rPr>
              <w:t>а установу и студијски програм.</w:t>
            </w:r>
            <w:r w:rsidR="00637F6E">
              <w:rPr>
                <w:rFonts w:eastAsia="Calibri" w:cstheme="minorHAnsi"/>
                <w:sz w:val="20"/>
                <w:szCs w:val="20"/>
                <w:lang w:val="sr-Cyrl-RS" w:eastAsia="en-US"/>
              </w:rPr>
              <w:t xml:space="preserve">  </w:t>
            </w:r>
          </w:p>
        </w:tc>
      </w:tr>
      <w:tr w:rsidR="00637F6E" w:rsidTr="000C3C72">
        <w:trPr>
          <w:trHeight w:val="719"/>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14</w:t>
            </w:r>
          </w:p>
        </w:tc>
        <w:tc>
          <w:tcPr>
            <w:tcW w:w="2521" w:type="dxa"/>
            <w:vAlign w:val="center"/>
          </w:tcPr>
          <w:p w:rsidR="00637F6E" w:rsidRPr="005A17C9" w:rsidRDefault="00637F6E" w:rsidP="007D66C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Универзитет </w:t>
            </w:r>
            <w:r>
              <w:rPr>
                <w:sz w:val="20"/>
                <w:szCs w:val="20"/>
                <w:lang w:val="sr-Cyrl-BA"/>
              </w:rPr>
              <w:t>„</w:t>
            </w:r>
            <w:r>
              <w:rPr>
                <w:sz w:val="20"/>
                <w:szCs w:val="20"/>
              </w:rPr>
              <w:t>Бијељина”</w:t>
            </w:r>
            <w:r w:rsidRPr="005A17C9">
              <w:rPr>
                <w:sz w:val="20"/>
                <w:szCs w:val="20"/>
              </w:rPr>
              <w:t>, Бијељина</w:t>
            </w:r>
          </w:p>
        </w:tc>
        <w:tc>
          <w:tcPr>
            <w:tcW w:w="5896" w:type="dxa"/>
            <w:vAlign w:val="center"/>
          </w:tcPr>
          <w:p w:rsidR="00637F6E" w:rsidRPr="00B44F78" w:rsidRDefault="00637F6E" w:rsidP="00EE6A95">
            <w:pPr>
              <w:pStyle w:val="ListParagraph"/>
              <w:spacing w:after="0"/>
              <w:ind w:left="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sr-Cyrl-RS"/>
              </w:rPr>
            </w:pPr>
            <w:r>
              <w:rPr>
                <w:rFonts w:cstheme="minorHAnsi"/>
                <w:color w:val="000000"/>
                <w:sz w:val="20"/>
                <w:szCs w:val="20"/>
                <w:lang w:val="sr-Cyrl-RS"/>
              </w:rPr>
              <w:t>Високошколска установа има важећу акредитацију високошколске установе и пет студијских програма.</w:t>
            </w:r>
          </w:p>
        </w:tc>
      </w:tr>
      <w:tr w:rsidR="00637F6E" w:rsidTr="000C3C7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15</w:t>
            </w:r>
          </w:p>
        </w:tc>
        <w:tc>
          <w:tcPr>
            <w:tcW w:w="2521" w:type="dxa"/>
            <w:vAlign w:val="center"/>
          </w:tcPr>
          <w:p w:rsidR="00637F6E" w:rsidRPr="005A17C9" w:rsidRDefault="00637F6E" w:rsidP="007D66C4">
            <w:pPr>
              <w:cnfStyle w:val="000000100000" w:firstRow="0" w:lastRow="0" w:firstColumn="0" w:lastColumn="0" w:oddVBand="0" w:evenVBand="0" w:oddHBand="1" w:evenHBand="0" w:firstRowFirstColumn="0" w:firstRowLastColumn="0" w:lastRowFirstColumn="0" w:lastRowLastColumn="0"/>
              <w:rPr>
                <w:sz w:val="20"/>
                <w:szCs w:val="20"/>
              </w:rPr>
            </w:pPr>
            <w:r w:rsidRPr="005A17C9">
              <w:rPr>
                <w:sz w:val="20"/>
                <w:szCs w:val="20"/>
              </w:rPr>
              <w:t>Висока медицинска школа Приједор</w:t>
            </w:r>
          </w:p>
        </w:tc>
        <w:tc>
          <w:tcPr>
            <w:tcW w:w="5896" w:type="dxa"/>
            <w:vAlign w:val="center"/>
          </w:tcPr>
          <w:p w:rsidR="00637F6E" w:rsidRPr="00B44F78" w:rsidRDefault="00637F6E" w:rsidP="007D66C4">
            <w:pPr>
              <w:pStyle w:val="ListParagraph"/>
              <w:spacing w:after="0"/>
              <w:ind w:left="0"/>
              <w:jc w:val="both"/>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lang w:val="sr-Cyrl-RS"/>
              </w:rPr>
            </w:pPr>
            <w:r>
              <w:rPr>
                <w:rFonts w:cstheme="minorHAnsi"/>
                <w:color w:val="000000"/>
                <w:sz w:val="20"/>
                <w:szCs w:val="20"/>
                <w:lang w:val="sr-Cyrl-RS"/>
              </w:rPr>
              <w:t>Високошколска установа има важећу акредитацију високошколске установе и једног студијског програма.</w:t>
            </w:r>
          </w:p>
        </w:tc>
      </w:tr>
      <w:tr w:rsidR="00637F6E" w:rsidTr="000C3C72">
        <w:trPr>
          <w:trHeight w:val="998"/>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rFonts w:eastAsiaTheme="minorEastAsia" w:cstheme="minorHAnsi"/>
                <w:b w:val="0"/>
                <w:color w:val="000000"/>
                <w:sz w:val="20"/>
                <w:szCs w:val="20"/>
                <w:lang w:val="sr-Cyrl-RS" w:eastAsia="bs-Latn-BA"/>
              </w:rPr>
            </w:pPr>
            <w:r>
              <w:rPr>
                <w:b w:val="0"/>
                <w:sz w:val="20"/>
                <w:szCs w:val="20"/>
                <w:lang w:val="sr-Cyrl-RS"/>
              </w:rPr>
              <w:t>16</w:t>
            </w:r>
          </w:p>
        </w:tc>
        <w:tc>
          <w:tcPr>
            <w:tcW w:w="2521" w:type="dxa"/>
            <w:vAlign w:val="center"/>
          </w:tcPr>
          <w:p w:rsidR="00637F6E" w:rsidRPr="005A17C9" w:rsidRDefault="00637F6E" w:rsidP="007D66C4">
            <w:pPr>
              <w:pStyle w:val="NormalWeb"/>
              <w:shd w:val="clear" w:color="auto" w:fill="FFFFFF"/>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
                <w:sz w:val="20"/>
                <w:szCs w:val="20"/>
                <w:u w:val="single"/>
                <w:lang w:val="sr-Cyrl-RS" w:eastAsia="en-US"/>
              </w:rPr>
            </w:pPr>
            <w:r>
              <w:rPr>
                <w:rFonts w:asciiTheme="minorHAnsi" w:eastAsiaTheme="minorEastAsia" w:hAnsiTheme="minorHAnsi" w:cstheme="minorHAnsi"/>
                <w:color w:val="000000"/>
                <w:sz w:val="20"/>
                <w:szCs w:val="20"/>
                <w:lang w:val="sr-Cyrl-RS" w:eastAsia="bs-Latn-BA"/>
              </w:rPr>
              <w:t>Висока школа „Колеџ козметологије и естетике“</w:t>
            </w:r>
            <w:r w:rsidRPr="005F0CE5">
              <w:rPr>
                <w:rFonts w:asciiTheme="minorHAnsi" w:eastAsiaTheme="minorEastAsia" w:hAnsiTheme="minorHAnsi" w:cstheme="minorHAnsi"/>
                <w:color w:val="000000"/>
                <w:sz w:val="20"/>
                <w:szCs w:val="20"/>
                <w:lang w:val="sr-Cyrl-RS" w:eastAsia="bs-Latn-BA"/>
              </w:rPr>
              <w:t xml:space="preserve"> Бања Лука</w:t>
            </w:r>
            <w:r w:rsidRPr="005A17C9">
              <w:rPr>
                <w:rFonts w:eastAsiaTheme="minorEastAsia"/>
                <w:sz w:val="20"/>
                <w:szCs w:val="20"/>
              </w:rPr>
              <w:t xml:space="preserve">  </w:t>
            </w:r>
          </w:p>
        </w:tc>
        <w:tc>
          <w:tcPr>
            <w:tcW w:w="5896" w:type="dxa"/>
            <w:vAlign w:val="center"/>
          </w:tcPr>
          <w:p w:rsidR="00637F6E" w:rsidRPr="00B319FD" w:rsidRDefault="00637F6E" w:rsidP="00EE6A95">
            <w:pPr>
              <w:shd w:val="clear" w:color="auto" w:fill="FFFFFF"/>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sr-Cyrl-RS"/>
              </w:rPr>
            </w:pPr>
            <w:r w:rsidRPr="009E6FD4">
              <w:rPr>
                <w:rFonts w:eastAsia="Calibri" w:cstheme="minorHAnsi"/>
                <w:sz w:val="20"/>
                <w:szCs w:val="20"/>
                <w:lang w:val="sr-Cyrl-RS"/>
              </w:rPr>
              <w:t>Донесено је рјешење о одбијању захтјева за акредитацију вис</w:t>
            </w:r>
            <w:r>
              <w:rPr>
                <w:rFonts w:eastAsia="Calibri" w:cstheme="minorHAnsi"/>
                <w:sz w:val="20"/>
                <w:szCs w:val="20"/>
                <w:lang w:val="sr-Cyrl-RS"/>
              </w:rPr>
              <w:t xml:space="preserve">окошколске установе и студијског програма </w:t>
            </w:r>
            <w:r w:rsidR="00EE6A95">
              <w:rPr>
                <w:rFonts w:eastAsia="Calibri" w:cstheme="minorHAnsi"/>
                <w:sz w:val="20"/>
                <w:szCs w:val="20"/>
                <w:lang w:val="sr-Cyrl-RS"/>
              </w:rPr>
              <w:t>(д</w:t>
            </w:r>
            <w:r>
              <w:rPr>
                <w:rFonts w:eastAsia="Calibri" w:cstheme="minorHAnsi"/>
                <w:sz w:val="20"/>
                <w:szCs w:val="20"/>
                <w:lang w:val="sr-Cyrl-RS"/>
              </w:rPr>
              <w:t>ецем</w:t>
            </w:r>
            <w:r w:rsidR="00EE6A95">
              <w:rPr>
                <w:rFonts w:eastAsia="Calibri" w:cstheme="minorHAnsi"/>
                <w:sz w:val="20"/>
                <w:szCs w:val="20"/>
                <w:lang w:val="sr-Cyrl-RS"/>
              </w:rPr>
              <w:t>ар</w:t>
            </w:r>
            <w:r>
              <w:rPr>
                <w:rFonts w:eastAsia="Calibri" w:cstheme="minorHAnsi"/>
                <w:sz w:val="20"/>
                <w:szCs w:val="20"/>
                <w:lang w:val="sr-Cyrl-RS"/>
              </w:rPr>
              <w:t xml:space="preserve"> 2023</w:t>
            </w:r>
            <w:r w:rsidRPr="009E6FD4">
              <w:rPr>
                <w:rFonts w:eastAsia="Calibri" w:cstheme="minorHAnsi"/>
                <w:sz w:val="20"/>
                <w:szCs w:val="20"/>
                <w:lang w:val="sr-Cyrl-RS"/>
              </w:rPr>
              <w:t>. године</w:t>
            </w:r>
            <w:r w:rsidR="00EE6A95">
              <w:rPr>
                <w:rFonts w:eastAsia="Calibri" w:cstheme="minorHAnsi"/>
                <w:sz w:val="20"/>
                <w:szCs w:val="20"/>
                <w:lang w:val="sr-Cyrl-RS"/>
              </w:rPr>
              <w:t>)</w:t>
            </w:r>
            <w:r w:rsidRPr="009E6FD4">
              <w:rPr>
                <w:rFonts w:eastAsia="Calibri" w:cstheme="minorHAnsi"/>
                <w:sz w:val="20"/>
                <w:szCs w:val="20"/>
                <w:lang w:val="sr-Cyrl-RS"/>
              </w:rPr>
              <w:t>.</w:t>
            </w:r>
          </w:p>
        </w:tc>
      </w:tr>
      <w:tr w:rsidR="00637F6E" w:rsidTr="00EE6A95">
        <w:trPr>
          <w:cnfStyle w:val="000000100000" w:firstRow="0" w:lastRow="0" w:firstColumn="0" w:lastColumn="0" w:oddVBand="0" w:evenVBand="0" w:oddHBand="1" w:evenHBand="0" w:firstRowFirstColumn="0" w:firstRowLastColumn="0" w:lastRowFirstColumn="0" w:lastRowLastColumn="0"/>
          <w:trHeight w:val="861"/>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jc w:val="center"/>
              <w:rPr>
                <w:b w:val="0"/>
                <w:sz w:val="20"/>
                <w:szCs w:val="20"/>
                <w:lang w:val="sr-Cyrl-RS"/>
              </w:rPr>
            </w:pPr>
            <w:r w:rsidRPr="003144E2">
              <w:rPr>
                <w:b w:val="0"/>
                <w:sz w:val="20"/>
                <w:szCs w:val="20"/>
                <w:lang w:val="sr-Cyrl-RS"/>
              </w:rPr>
              <w:t>1</w:t>
            </w:r>
            <w:r>
              <w:rPr>
                <w:b w:val="0"/>
                <w:sz w:val="20"/>
                <w:szCs w:val="20"/>
                <w:lang w:val="sr-Cyrl-RS"/>
              </w:rPr>
              <w:t>7</w:t>
            </w:r>
          </w:p>
        </w:tc>
        <w:tc>
          <w:tcPr>
            <w:tcW w:w="2521" w:type="dxa"/>
            <w:vAlign w:val="center"/>
          </w:tcPr>
          <w:p w:rsidR="00637F6E" w:rsidRPr="005A17C9" w:rsidRDefault="00637F6E" w:rsidP="007D66C4">
            <w:pPr>
              <w:cnfStyle w:val="000000100000" w:firstRow="0" w:lastRow="0" w:firstColumn="0" w:lastColumn="0" w:oddVBand="0" w:evenVBand="0" w:oddHBand="1" w:evenHBand="0" w:firstRowFirstColumn="0" w:firstRowLastColumn="0" w:lastRowFirstColumn="0" w:lastRowLastColumn="0"/>
              <w:rPr>
                <w:sz w:val="20"/>
                <w:szCs w:val="20"/>
              </w:rPr>
            </w:pPr>
            <w:r w:rsidRPr="005A17C9">
              <w:rPr>
                <w:sz w:val="20"/>
                <w:szCs w:val="20"/>
              </w:rPr>
              <w:t xml:space="preserve">Висока школа за туризам и хотелијерство Требиње </w:t>
            </w:r>
          </w:p>
        </w:tc>
        <w:tc>
          <w:tcPr>
            <w:tcW w:w="5896" w:type="dxa"/>
            <w:vAlign w:val="center"/>
          </w:tcPr>
          <w:p w:rsidR="00637F6E" w:rsidRPr="00E07EDD" w:rsidRDefault="00637F6E" w:rsidP="007D66C4">
            <w:pPr>
              <w:pStyle w:val="ListParagraph"/>
              <w:spacing w:after="0"/>
              <w:ind w:left="0"/>
              <w:jc w:val="both"/>
              <w:cnfStyle w:val="000000100000" w:firstRow="0" w:lastRow="0" w:firstColumn="0" w:lastColumn="0" w:oddVBand="0" w:evenVBand="0" w:oddHBand="1" w:evenHBand="0" w:firstRowFirstColumn="0" w:firstRowLastColumn="0" w:lastRowFirstColumn="0" w:lastRowLastColumn="0"/>
              <w:rPr>
                <w:rFonts w:cstheme="minorHAnsi"/>
                <w:b/>
                <w:sz w:val="20"/>
                <w:szCs w:val="20"/>
                <w:lang w:val="sr-Cyrl-RS"/>
              </w:rPr>
            </w:pPr>
            <w:r>
              <w:rPr>
                <w:rFonts w:cs="Open Sans"/>
                <w:color w:val="000000"/>
                <w:sz w:val="20"/>
                <w:szCs w:val="20"/>
                <w:lang w:val="sr-Cyrl-RS"/>
              </w:rPr>
              <w:t xml:space="preserve">Високошколска установа има важећу акредитацију високошколске установе и два </w:t>
            </w:r>
            <w:r w:rsidRPr="00B319FD">
              <w:rPr>
                <w:rFonts w:cs="Open Sans"/>
                <w:color w:val="000000"/>
                <w:sz w:val="20"/>
                <w:szCs w:val="20"/>
                <w:lang w:val="sr-Cyrl-RS"/>
              </w:rPr>
              <w:t xml:space="preserve"> </w:t>
            </w:r>
            <w:r>
              <w:rPr>
                <w:rFonts w:cs="Open Sans"/>
                <w:color w:val="000000"/>
                <w:sz w:val="20"/>
                <w:szCs w:val="20"/>
                <w:lang w:val="sr-Cyrl-RS"/>
              </w:rPr>
              <w:t>студијска програма</w:t>
            </w:r>
            <w:r w:rsidRPr="00B319FD">
              <w:rPr>
                <w:rFonts w:cstheme="minorHAnsi"/>
                <w:sz w:val="20"/>
                <w:szCs w:val="20"/>
                <w:lang w:val="sr-Cyrl-RS"/>
              </w:rPr>
              <w:t>.</w:t>
            </w:r>
            <w:r w:rsidRPr="00B319FD">
              <w:rPr>
                <w:rFonts w:cstheme="minorHAnsi"/>
                <w:b/>
                <w:sz w:val="20"/>
                <w:szCs w:val="20"/>
                <w:lang w:val="sr-Cyrl-RS"/>
              </w:rPr>
              <w:t xml:space="preserve">  </w:t>
            </w:r>
          </w:p>
        </w:tc>
      </w:tr>
      <w:tr w:rsidR="00637F6E" w:rsidTr="00EE6A95">
        <w:trPr>
          <w:trHeight w:val="985"/>
        </w:trPr>
        <w:tc>
          <w:tcPr>
            <w:cnfStyle w:val="001000000000" w:firstRow="0" w:lastRow="0" w:firstColumn="1" w:lastColumn="0" w:oddVBand="0" w:evenVBand="0" w:oddHBand="0" w:evenHBand="0" w:firstRowFirstColumn="0" w:firstRowLastColumn="0" w:lastRowFirstColumn="0" w:lastRowLastColumn="0"/>
            <w:tcW w:w="593" w:type="dxa"/>
            <w:vAlign w:val="center"/>
          </w:tcPr>
          <w:p w:rsidR="00637F6E" w:rsidRPr="003144E2" w:rsidRDefault="00637F6E" w:rsidP="007D66C4">
            <w:pPr>
              <w:pStyle w:val="NormalWeb"/>
              <w:shd w:val="clear" w:color="auto" w:fill="FFFFFF"/>
              <w:spacing w:before="0" w:beforeAutospacing="0" w:after="0" w:afterAutospacing="0"/>
              <w:jc w:val="center"/>
              <w:rPr>
                <w:rFonts w:asciiTheme="minorHAnsi" w:eastAsiaTheme="minorEastAsia" w:hAnsiTheme="minorHAnsi" w:cstheme="minorHAnsi"/>
                <w:b w:val="0"/>
                <w:color w:val="000000"/>
                <w:sz w:val="20"/>
                <w:szCs w:val="20"/>
                <w:lang w:val="sr-Cyrl-RS" w:eastAsia="bs-Latn-BA"/>
              </w:rPr>
            </w:pPr>
            <w:r w:rsidRPr="003144E2">
              <w:rPr>
                <w:rFonts w:asciiTheme="minorHAnsi" w:eastAsiaTheme="minorEastAsia" w:hAnsiTheme="minorHAnsi" w:cstheme="minorHAnsi"/>
                <w:b w:val="0"/>
                <w:color w:val="000000"/>
                <w:sz w:val="20"/>
                <w:szCs w:val="20"/>
                <w:lang w:val="sr-Cyrl-RS" w:eastAsia="bs-Latn-BA"/>
              </w:rPr>
              <w:t>18</w:t>
            </w:r>
          </w:p>
        </w:tc>
        <w:tc>
          <w:tcPr>
            <w:tcW w:w="2521" w:type="dxa"/>
            <w:vAlign w:val="center"/>
          </w:tcPr>
          <w:p w:rsidR="00637F6E" w:rsidRPr="005A17C9" w:rsidRDefault="00637F6E" w:rsidP="007D66C4">
            <w:pPr>
              <w:pStyle w:val="NormalWeb"/>
              <w:shd w:val="clear" w:color="auto" w:fill="FFFFFF"/>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 w:val="20"/>
                <w:szCs w:val="20"/>
                <w:lang w:val="sr-Cyrl-RS" w:eastAsia="en-US"/>
              </w:rPr>
            </w:pPr>
            <w:r w:rsidRPr="005A17C9">
              <w:rPr>
                <w:rFonts w:asciiTheme="minorHAnsi" w:eastAsiaTheme="minorEastAsia" w:hAnsiTheme="minorHAnsi" w:cstheme="minorHAnsi"/>
                <w:color w:val="000000"/>
                <w:sz w:val="20"/>
                <w:szCs w:val="20"/>
                <w:lang w:val="sr-Cyrl-RS" w:eastAsia="bs-Latn-BA"/>
              </w:rPr>
              <w:t xml:space="preserve">Висока медицинска школа здравства Добој </w:t>
            </w:r>
          </w:p>
        </w:tc>
        <w:tc>
          <w:tcPr>
            <w:tcW w:w="5896" w:type="dxa"/>
            <w:vAlign w:val="center"/>
          </w:tcPr>
          <w:p w:rsidR="00637F6E" w:rsidRPr="00B44F78" w:rsidRDefault="00637F6E" w:rsidP="00EE6A95">
            <w:pPr>
              <w:pStyle w:val="ListParagraph"/>
              <w:spacing w:after="0"/>
              <w:ind w:left="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sr-Cyrl-RS"/>
              </w:rPr>
            </w:pPr>
            <w:r>
              <w:rPr>
                <w:rFonts w:cstheme="minorHAnsi"/>
                <w:color w:val="000000"/>
                <w:sz w:val="20"/>
                <w:szCs w:val="20"/>
                <w:lang w:val="sr-Cyrl-RS"/>
              </w:rPr>
              <w:t xml:space="preserve">Високошколска установа </w:t>
            </w:r>
            <w:r w:rsidR="00EE6A95">
              <w:rPr>
                <w:rFonts w:cs="Open Sans"/>
                <w:color w:val="000000"/>
                <w:sz w:val="20"/>
                <w:szCs w:val="20"/>
                <w:lang w:val="sr-Cyrl-RS"/>
              </w:rPr>
              <w:t>има важећу акредитацију високошколске установе</w:t>
            </w:r>
            <w:r>
              <w:rPr>
                <w:rFonts w:cstheme="minorHAnsi"/>
                <w:color w:val="000000"/>
                <w:sz w:val="20"/>
                <w:szCs w:val="20"/>
                <w:lang w:val="sr-Cyrl-RS"/>
              </w:rPr>
              <w:t>. У поступку је акредитација три студијска програма</w:t>
            </w:r>
            <w:r w:rsidR="00EE6A95">
              <w:rPr>
                <w:rFonts w:cstheme="minorHAnsi"/>
                <w:color w:val="000000"/>
                <w:sz w:val="20"/>
                <w:szCs w:val="20"/>
                <w:lang w:val="sr-Cyrl-RS"/>
              </w:rPr>
              <w:t xml:space="preserve"> по моделу кластерске акредитације.</w:t>
            </w:r>
          </w:p>
        </w:tc>
      </w:tr>
    </w:tbl>
    <w:p w:rsidR="00637F6E" w:rsidRPr="00460242" w:rsidRDefault="00637F6E" w:rsidP="00FC0C33">
      <w:pPr>
        <w:pStyle w:val="NormalWeb"/>
        <w:shd w:val="clear" w:color="auto" w:fill="FFFFFF"/>
        <w:spacing w:before="240" w:beforeAutospacing="0" w:after="0" w:afterAutospacing="0"/>
        <w:jc w:val="center"/>
        <w:rPr>
          <w:rFonts w:asciiTheme="minorHAnsi" w:eastAsia="Calibri" w:hAnsiTheme="minorHAnsi"/>
          <w:b/>
          <w:color w:val="323E4F" w:themeColor="text2" w:themeShade="BF"/>
          <w:sz w:val="22"/>
          <w:szCs w:val="22"/>
          <w:lang w:val="sr-Cyrl-RS" w:eastAsia="en-US"/>
        </w:rPr>
      </w:pPr>
      <w:r w:rsidRPr="00460242">
        <w:rPr>
          <w:rFonts w:asciiTheme="minorHAnsi" w:eastAsia="Calibri" w:hAnsiTheme="minorHAnsi"/>
          <w:b/>
          <w:color w:val="323E4F" w:themeColor="text2" w:themeShade="BF"/>
          <w:sz w:val="22"/>
          <w:szCs w:val="22"/>
          <w:lang w:val="sr-Cyrl-RS" w:eastAsia="en-US"/>
        </w:rPr>
        <w:t>Табела 1. Статус акред</w:t>
      </w:r>
      <w:r w:rsidR="00FC0C33" w:rsidRPr="00460242">
        <w:rPr>
          <w:rFonts w:asciiTheme="minorHAnsi" w:eastAsia="Calibri" w:hAnsiTheme="minorHAnsi"/>
          <w:b/>
          <w:color w:val="323E4F" w:themeColor="text2" w:themeShade="BF"/>
          <w:sz w:val="22"/>
          <w:szCs w:val="22"/>
          <w:lang w:val="sr-Cyrl-RS" w:eastAsia="en-US"/>
        </w:rPr>
        <w:t>итације високошколских установа</w:t>
      </w:r>
    </w:p>
    <w:p w:rsidR="00F35A36" w:rsidRDefault="00F35A36" w:rsidP="000C3C72">
      <w:pPr>
        <w:pStyle w:val="NormalWeb"/>
        <w:shd w:val="clear" w:color="auto" w:fill="FFFFFF"/>
        <w:spacing w:before="0" w:beforeAutospacing="0" w:after="0" w:afterAutospacing="0" w:line="276" w:lineRule="auto"/>
        <w:jc w:val="both"/>
        <w:rPr>
          <w:rFonts w:asciiTheme="minorHAnsi" w:hAnsiTheme="minorHAnsi" w:cs="Open Sans"/>
          <w:color w:val="000000"/>
          <w:sz w:val="22"/>
          <w:szCs w:val="22"/>
          <w:lang w:val="sr-Cyrl-RS"/>
        </w:rPr>
      </w:pPr>
    </w:p>
    <w:p w:rsidR="00EE6164" w:rsidRPr="00FD6ADB" w:rsidRDefault="00EE6164" w:rsidP="00FD6ADB">
      <w:pPr>
        <w:pStyle w:val="a0"/>
        <w:numPr>
          <w:ilvl w:val="1"/>
          <w:numId w:val="8"/>
        </w:numPr>
        <w:tabs>
          <w:tab w:val="left" w:pos="993"/>
        </w:tabs>
        <w:rPr>
          <w:rFonts w:asciiTheme="minorHAnsi" w:hAnsiTheme="minorHAnsi" w:cstheme="minorHAnsi"/>
          <w:color w:val="FF0000"/>
        </w:rPr>
      </w:pPr>
      <w:bookmarkStart w:id="6" w:name="_Toc190682508"/>
      <w:r w:rsidRPr="00FD6ADB">
        <w:rPr>
          <w:rFonts w:asciiTheme="minorHAnsi" w:hAnsiTheme="minorHAnsi" w:cstheme="minorHAnsi"/>
          <w:color w:val="323E4F" w:themeColor="text2" w:themeShade="BF"/>
        </w:rPr>
        <w:t>ПОСТУПЦИ ВАЊСКОГ ВРЕДНОВАЊА У СВРХУ ПОЧЕТНЕ АКРЕДИТАЦИЈЕ</w:t>
      </w:r>
      <w:bookmarkEnd w:id="6"/>
      <w:r w:rsidR="00C13664" w:rsidRPr="00FD6ADB">
        <w:rPr>
          <w:rFonts w:asciiTheme="minorHAnsi" w:hAnsiTheme="minorHAnsi" w:cstheme="minorHAnsi"/>
          <w:color w:val="323E4F" w:themeColor="text2" w:themeShade="BF"/>
        </w:rPr>
        <w:t xml:space="preserve"> </w:t>
      </w:r>
    </w:p>
    <w:p w:rsidR="0091485B" w:rsidRDefault="0091485B" w:rsidP="000C3C72">
      <w:pPr>
        <w:spacing w:line="276" w:lineRule="auto"/>
        <w:jc w:val="both"/>
        <w:rPr>
          <w:rFonts w:eastAsia="Calibri" w:cstheme="minorHAnsi"/>
          <w:sz w:val="22"/>
          <w:szCs w:val="22"/>
          <w:lang w:val="sr-Cyrl-RS"/>
        </w:rPr>
      </w:pPr>
    </w:p>
    <w:p w:rsidR="002A099D" w:rsidRDefault="002A099D" w:rsidP="00FD6ADB">
      <w:pPr>
        <w:pStyle w:val="Default"/>
        <w:spacing w:after="240" w:line="276" w:lineRule="auto"/>
        <w:jc w:val="both"/>
        <w:rPr>
          <w:color w:val="auto"/>
          <w:sz w:val="22"/>
          <w:szCs w:val="22"/>
          <w:lang w:val="sr-Cyrl-RS"/>
        </w:rPr>
      </w:pPr>
      <w:r>
        <w:rPr>
          <w:color w:val="auto"/>
          <w:sz w:val="22"/>
          <w:szCs w:val="22"/>
          <w:lang w:val="sr-Cyrl-RS"/>
        </w:rPr>
        <w:t xml:space="preserve">У 2024. години проведени су поступци вањског вредновања у сврху почетне акредитације за </w:t>
      </w:r>
      <w:r w:rsidR="00FD6ADB">
        <w:rPr>
          <w:color w:val="auto"/>
          <w:sz w:val="22"/>
          <w:szCs w:val="22"/>
          <w:lang w:val="sr-Cyrl-RS"/>
        </w:rPr>
        <w:t>седам</w:t>
      </w:r>
      <w:r>
        <w:rPr>
          <w:color w:val="auto"/>
          <w:sz w:val="22"/>
          <w:szCs w:val="22"/>
          <w:lang w:val="sr-Cyrl-RS"/>
        </w:rPr>
        <w:t xml:space="preserve"> студијских програма и то: </w:t>
      </w:r>
    </w:p>
    <w:p w:rsidR="002A099D" w:rsidRDefault="002A099D" w:rsidP="002A099D">
      <w:pPr>
        <w:pStyle w:val="Default"/>
        <w:numPr>
          <w:ilvl w:val="0"/>
          <w:numId w:val="13"/>
        </w:numPr>
        <w:adjustRightInd/>
        <w:spacing w:line="276" w:lineRule="auto"/>
        <w:jc w:val="both"/>
        <w:rPr>
          <w:sz w:val="22"/>
          <w:szCs w:val="22"/>
          <w:lang w:val="sr-Cyrl-RS"/>
        </w:rPr>
      </w:pPr>
      <w:r>
        <w:rPr>
          <w:color w:val="auto"/>
          <w:sz w:val="22"/>
          <w:szCs w:val="22"/>
          <w:lang w:val="sr-Cyrl-RS"/>
        </w:rPr>
        <w:t>Право (трећи циклус) на Правном факултету Универзитета у Источном Сарајеву,</w:t>
      </w:r>
    </w:p>
    <w:p w:rsidR="002A099D" w:rsidRDefault="002A099D" w:rsidP="002A099D">
      <w:pPr>
        <w:pStyle w:val="Default"/>
        <w:numPr>
          <w:ilvl w:val="0"/>
          <w:numId w:val="13"/>
        </w:numPr>
        <w:adjustRightInd/>
        <w:spacing w:line="276" w:lineRule="auto"/>
        <w:jc w:val="both"/>
        <w:rPr>
          <w:sz w:val="22"/>
          <w:szCs w:val="22"/>
          <w:lang w:val="sr-Cyrl-RS"/>
        </w:rPr>
      </w:pPr>
      <w:r>
        <w:rPr>
          <w:color w:val="auto"/>
          <w:sz w:val="22"/>
          <w:szCs w:val="22"/>
          <w:lang w:val="sr-Cyrl-RS"/>
        </w:rPr>
        <w:t xml:space="preserve">Медицинско-лабораторијска дијагностика (други циклус) на Медицинском факултету Универзитета у Бањој Луци, </w:t>
      </w:r>
    </w:p>
    <w:p w:rsidR="002A099D" w:rsidRDefault="002A099D" w:rsidP="002A099D">
      <w:pPr>
        <w:pStyle w:val="Default"/>
        <w:numPr>
          <w:ilvl w:val="0"/>
          <w:numId w:val="13"/>
        </w:numPr>
        <w:adjustRightInd/>
        <w:spacing w:line="276" w:lineRule="auto"/>
        <w:jc w:val="both"/>
        <w:rPr>
          <w:sz w:val="22"/>
          <w:szCs w:val="22"/>
          <w:lang w:val="sr-Cyrl-RS"/>
        </w:rPr>
      </w:pPr>
      <w:r>
        <w:rPr>
          <w:color w:val="auto"/>
          <w:sz w:val="22"/>
          <w:szCs w:val="22"/>
          <w:lang w:val="sr-Cyrl-RS"/>
        </w:rPr>
        <w:t>Инжењерство информационих технологија (први циклус) на Факултету за производњу и менеџмент Требиње, Универзитета у Источном Сарајеву,</w:t>
      </w:r>
    </w:p>
    <w:p w:rsidR="002A099D" w:rsidRDefault="002A099D" w:rsidP="002A099D">
      <w:pPr>
        <w:pStyle w:val="Default"/>
        <w:numPr>
          <w:ilvl w:val="0"/>
          <w:numId w:val="13"/>
        </w:numPr>
        <w:adjustRightInd/>
        <w:spacing w:line="276" w:lineRule="auto"/>
        <w:jc w:val="both"/>
        <w:rPr>
          <w:sz w:val="22"/>
          <w:szCs w:val="22"/>
          <w:lang w:val="sr-Cyrl-RS"/>
        </w:rPr>
      </w:pPr>
      <w:r>
        <w:rPr>
          <w:color w:val="auto"/>
          <w:sz w:val="22"/>
          <w:szCs w:val="22"/>
          <w:lang w:val="sr-Cyrl-RS"/>
        </w:rPr>
        <w:t>Историја ратова, ратних злочина и геноцида у 20. вијеку (заједнички студијски програм трећег циклуса студија) на Филозофском факултету Универзитета у Бањој Луци и Филозофском факултету Пале, Универзитета у Источном Сарајеву,</w:t>
      </w:r>
    </w:p>
    <w:p w:rsidR="002A099D" w:rsidRDefault="002A099D" w:rsidP="002A099D">
      <w:pPr>
        <w:pStyle w:val="Default"/>
        <w:numPr>
          <w:ilvl w:val="0"/>
          <w:numId w:val="13"/>
        </w:numPr>
        <w:adjustRightInd/>
        <w:spacing w:line="276" w:lineRule="auto"/>
        <w:jc w:val="both"/>
        <w:rPr>
          <w:sz w:val="22"/>
          <w:szCs w:val="22"/>
          <w:lang w:val="sr-Cyrl-RS"/>
        </w:rPr>
      </w:pPr>
      <w:r>
        <w:rPr>
          <w:color w:val="auto"/>
          <w:sz w:val="22"/>
          <w:szCs w:val="22"/>
          <w:lang w:val="sr-Cyrl-RS"/>
        </w:rPr>
        <w:t>Пољопривреда (први циклус) на Пољопривредном факултету Универзитета у Бањој Луци,</w:t>
      </w:r>
    </w:p>
    <w:p w:rsidR="002A099D" w:rsidRDefault="002A099D" w:rsidP="002A099D">
      <w:pPr>
        <w:pStyle w:val="Default"/>
        <w:numPr>
          <w:ilvl w:val="0"/>
          <w:numId w:val="13"/>
        </w:numPr>
        <w:adjustRightInd/>
        <w:spacing w:line="276" w:lineRule="auto"/>
        <w:jc w:val="both"/>
        <w:rPr>
          <w:sz w:val="22"/>
          <w:szCs w:val="22"/>
          <w:lang w:val="sr-Cyrl-RS"/>
        </w:rPr>
      </w:pPr>
      <w:r>
        <w:rPr>
          <w:color w:val="auto"/>
          <w:sz w:val="22"/>
          <w:szCs w:val="22"/>
          <w:lang w:val="sr-Cyrl-RS"/>
        </w:rPr>
        <w:t>Технолошко инжењерство (трећи циклус) на Технолошком факултету Универзитета у Бањој Луци,</w:t>
      </w:r>
    </w:p>
    <w:p w:rsidR="002A099D" w:rsidRDefault="002A099D" w:rsidP="002A099D">
      <w:pPr>
        <w:pStyle w:val="Default"/>
        <w:numPr>
          <w:ilvl w:val="0"/>
          <w:numId w:val="13"/>
        </w:numPr>
        <w:adjustRightInd/>
        <w:spacing w:line="276" w:lineRule="auto"/>
        <w:jc w:val="both"/>
        <w:rPr>
          <w:sz w:val="22"/>
          <w:szCs w:val="22"/>
          <w:lang w:val="sr-Cyrl-RS"/>
        </w:rPr>
      </w:pPr>
      <w:r>
        <w:rPr>
          <w:color w:val="auto"/>
          <w:sz w:val="22"/>
          <w:szCs w:val="22"/>
          <w:lang w:val="sr-Cyrl-RS"/>
        </w:rPr>
        <w:t>Математика, информатика и физика (први циклус) на Филозофском факултету Пале, Универзитета у Источном Сарајеву.</w:t>
      </w:r>
    </w:p>
    <w:p w:rsidR="002A099D" w:rsidRPr="0094580A" w:rsidRDefault="002A099D" w:rsidP="002A099D">
      <w:pPr>
        <w:pStyle w:val="Default"/>
        <w:spacing w:line="276" w:lineRule="auto"/>
        <w:jc w:val="both"/>
        <w:rPr>
          <w:color w:val="auto"/>
          <w:sz w:val="22"/>
          <w:szCs w:val="22"/>
          <w:lang w:val="sr-Cyrl-RS"/>
        </w:rPr>
      </w:pPr>
    </w:p>
    <w:p w:rsidR="00FD6ADB" w:rsidRDefault="002A099D" w:rsidP="00FD6ADB">
      <w:pPr>
        <w:pStyle w:val="Default"/>
        <w:spacing w:after="240" w:line="276" w:lineRule="auto"/>
        <w:jc w:val="both"/>
        <w:rPr>
          <w:color w:val="auto"/>
          <w:sz w:val="22"/>
          <w:szCs w:val="22"/>
          <w:lang w:val="sr-Cyrl-RS"/>
        </w:rPr>
      </w:pPr>
      <w:r>
        <w:rPr>
          <w:color w:val="auto"/>
          <w:sz w:val="22"/>
          <w:szCs w:val="22"/>
          <w:lang w:val="sr-Cyrl-RS"/>
        </w:rPr>
        <w:t>На основу извјештаја и стручних мишљења Комисија рецензената, Агенција је за све наведене студијске програме издала Министарству препор</w:t>
      </w:r>
      <w:r w:rsidR="00FD6ADB">
        <w:rPr>
          <w:color w:val="auto"/>
          <w:sz w:val="22"/>
          <w:szCs w:val="22"/>
          <w:lang w:val="sr-Cyrl-RS"/>
        </w:rPr>
        <w:t>уке за издавање дозволе за рад.</w:t>
      </w:r>
    </w:p>
    <w:p w:rsidR="002A099D" w:rsidRPr="00FD6ADB" w:rsidRDefault="00FD6ADB" w:rsidP="00460242">
      <w:pPr>
        <w:pStyle w:val="Default"/>
        <w:spacing w:line="276" w:lineRule="auto"/>
        <w:jc w:val="both"/>
        <w:rPr>
          <w:color w:val="auto"/>
          <w:sz w:val="22"/>
          <w:szCs w:val="22"/>
          <w:lang w:val="sr-Cyrl-RS"/>
        </w:rPr>
      </w:pPr>
      <w:r>
        <w:rPr>
          <w:color w:val="auto"/>
          <w:sz w:val="22"/>
          <w:szCs w:val="22"/>
          <w:lang w:val="sr-Cyrl-RS"/>
        </w:rPr>
        <w:t>У 2024. години в</w:t>
      </w:r>
      <w:r w:rsidR="002A099D">
        <w:rPr>
          <w:color w:val="auto"/>
          <w:sz w:val="22"/>
          <w:szCs w:val="22"/>
          <w:lang w:val="sr-Cyrl-RS"/>
        </w:rPr>
        <w:t xml:space="preserve">ођен је </w:t>
      </w:r>
      <w:r>
        <w:rPr>
          <w:color w:val="auto"/>
          <w:sz w:val="22"/>
          <w:szCs w:val="22"/>
          <w:lang w:val="sr-Cyrl-RS"/>
        </w:rPr>
        <w:t xml:space="preserve">и </w:t>
      </w:r>
      <w:r w:rsidR="002A099D">
        <w:rPr>
          <w:color w:val="auto"/>
          <w:sz w:val="22"/>
          <w:szCs w:val="22"/>
          <w:lang w:val="sr-Cyrl-RS"/>
        </w:rPr>
        <w:t>поступак у предмету почетне акредитације новог сједишта високошколске установе</w:t>
      </w:r>
      <w:r w:rsidR="002A099D" w:rsidRPr="002D22EA">
        <w:rPr>
          <w:color w:val="auto"/>
          <w:sz w:val="22"/>
          <w:szCs w:val="22"/>
          <w:lang w:val="sr-Cyrl-RS"/>
        </w:rPr>
        <w:t xml:space="preserve"> „Колеџ козметологије и естетике“ Бања Лука, </w:t>
      </w:r>
      <w:r w:rsidR="002A099D">
        <w:rPr>
          <w:color w:val="auto"/>
          <w:sz w:val="22"/>
          <w:szCs w:val="22"/>
          <w:lang w:val="sr-Cyrl-RS"/>
        </w:rPr>
        <w:t xml:space="preserve">који је окончан обавјештењем о </w:t>
      </w:r>
      <w:r w:rsidR="002A099D" w:rsidRPr="000E4D29">
        <w:rPr>
          <w:color w:val="auto"/>
          <w:sz w:val="22"/>
          <w:szCs w:val="22"/>
          <w:lang w:val="sr-Cyrl-RS"/>
        </w:rPr>
        <w:t>неуспјелом ступању у пословни однос са</w:t>
      </w:r>
      <w:r w:rsidR="002A099D">
        <w:rPr>
          <w:color w:val="auto"/>
          <w:sz w:val="22"/>
          <w:szCs w:val="22"/>
          <w:lang w:val="sr-Cyrl-RS"/>
        </w:rPr>
        <w:t xml:space="preserve"> предметном установом и исти је достављен Министарству на надлежно поступање</w:t>
      </w:r>
      <w:r w:rsidR="002A099D" w:rsidRPr="002D22EA">
        <w:rPr>
          <w:color w:val="auto"/>
          <w:sz w:val="22"/>
          <w:szCs w:val="22"/>
          <w:lang w:val="sr-Cyrl-RS"/>
        </w:rPr>
        <w:t>.</w:t>
      </w:r>
    </w:p>
    <w:p w:rsidR="00AD2D37" w:rsidRPr="00460242" w:rsidRDefault="00AD2D37" w:rsidP="000C3C72">
      <w:pPr>
        <w:spacing w:line="276" w:lineRule="auto"/>
        <w:jc w:val="both"/>
        <w:rPr>
          <w:rFonts w:eastAsia="Calibri" w:cstheme="minorHAnsi"/>
          <w:color w:val="FF0000"/>
          <w:lang w:val="sr-Cyrl-RS"/>
        </w:rPr>
      </w:pPr>
    </w:p>
    <w:p w:rsidR="002A099D" w:rsidRPr="00460242" w:rsidRDefault="002A099D" w:rsidP="00460242">
      <w:pPr>
        <w:pStyle w:val="a0"/>
        <w:numPr>
          <w:ilvl w:val="1"/>
          <w:numId w:val="8"/>
        </w:numPr>
        <w:tabs>
          <w:tab w:val="left" w:pos="851"/>
        </w:tabs>
        <w:rPr>
          <w:rFonts w:asciiTheme="minorHAnsi" w:hAnsiTheme="minorHAnsi" w:cstheme="minorHAnsi"/>
          <w:color w:val="FF0000"/>
        </w:rPr>
      </w:pPr>
      <w:r w:rsidRPr="00460242">
        <w:rPr>
          <w:rFonts w:asciiTheme="minorHAnsi" w:hAnsiTheme="minorHAnsi" w:cstheme="minorHAnsi"/>
          <w:color w:val="3B3838" w:themeColor="background2" w:themeShade="40"/>
          <w:lang w:val="sr-Latn-RS"/>
        </w:rPr>
        <w:t xml:space="preserve"> </w:t>
      </w:r>
      <w:bookmarkStart w:id="7" w:name="_Toc190682509"/>
      <w:r w:rsidRPr="00460242">
        <w:rPr>
          <w:rFonts w:asciiTheme="minorHAnsi" w:hAnsiTheme="minorHAnsi" w:cstheme="minorHAnsi"/>
          <w:color w:val="323E4F" w:themeColor="text2" w:themeShade="BF"/>
        </w:rPr>
        <w:t>АЖУРИРАЊЕ ЛИСТА РЕЦЕНЗЕНАТА</w:t>
      </w:r>
      <w:bookmarkEnd w:id="7"/>
      <w:r w:rsidRPr="00460242">
        <w:rPr>
          <w:rFonts w:asciiTheme="minorHAnsi" w:hAnsiTheme="minorHAnsi" w:cstheme="minorHAnsi"/>
          <w:color w:val="323E4F" w:themeColor="text2" w:themeShade="BF"/>
        </w:rPr>
        <w:t xml:space="preserve"> </w:t>
      </w:r>
      <w:r w:rsidRPr="00460242">
        <w:rPr>
          <w:rFonts w:asciiTheme="minorHAnsi" w:hAnsiTheme="minorHAnsi" w:cstheme="minorHAnsi"/>
          <w:color w:val="FF0000"/>
        </w:rPr>
        <w:t xml:space="preserve"> </w:t>
      </w:r>
    </w:p>
    <w:p w:rsidR="002A099D" w:rsidRPr="00B474A7" w:rsidRDefault="002A099D" w:rsidP="000C3C72"/>
    <w:p w:rsidR="002A099D" w:rsidRPr="006436FA" w:rsidRDefault="002A099D" w:rsidP="009C0F2A">
      <w:pPr>
        <w:spacing w:after="240" w:line="276" w:lineRule="auto"/>
        <w:jc w:val="both"/>
        <w:rPr>
          <w:rFonts w:eastAsia="Calibri" w:cstheme="minorHAnsi"/>
          <w:sz w:val="22"/>
          <w:szCs w:val="22"/>
          <w:lang w:val="sr-Cyrl-RS"/>
        </w:rPr>
      </w:pPr>
      <w:r w:rsidRPr="006436FA">
        <w:rPr>
          <w:rFonts w:eastAsia="Calibri" w:cstheme="minorHAnsi"/>
          <w:sz w:val="22"/>
          <w:szCs w:val="22"/>
          <w:lang w:val="sr-Cyrl-RS"/>
        </w:rPr>
        <w:t xml:space="preserve">Агенција води Листу рецензената за вањско вредновање у високом образовању која је отвореног типа, те рецензенти из реда академског особља, привреде и праксе и студената, могу да се пријављују током цијеле године. Ова листа се у складу са Законом </w:t>
      </w:r>
      <w:r w:rsidR="009C0F2A">
        <w:rPr>
          <w:rFonts w:eastAsia="Calibri" w:cstheme="minorHAnsi"/>
          <w:sz w:val="22"/>
          <w:szCs w:val="22"/>
          <w:lang w:val="sr-Cyrl-RS"/>
        </w:rPr>
        <w:t xml:space="preserve">о Агенцији за високо образовање Републике Српске </w:t>
      </w:r>
      <w:r w:rsidRPr="006436FA">
        <w:rPr>
          <w:rFonts w:eastAsia="Calibri" w:cstheme="minorHAnsi"/>
          <w:sz w:val="22"/>
          <w:szCs w:val="22"/>
          <w:lang w:val="sr-Cyrl-RS"/>
        </w:rPr>
        <w:t>користи у поступцима почетне акредитације и у поступциме рецензије студијских програма у сврху њихове акредитације.  Одлуком о начину формирања и структури Листе и критеријумима за избор стручњака на Листу рецензената дефинисани су критеријуми за сваку категорију рецензената, а пристигле пријаве разматра Управни одбор и на Листу уврштава рецензенте који испуњавају услове дефинисане наведеном одлуком</w:t>
      </w:r>
      <w:r w:rsidR="009C0F2A">
        <w:rPr>
          <w:rFonts w:eastAsia="Calibri" w:cstheme="minorHAnsi"/>
          <w:sz w:val="22"/>
          <w:szCs w:val="22"/>
          <w:lang w:val="sr-Cyrl-RS"/>
        </w:rPr>
        <w:t>.</w:t>
      </w:r>
      <w:r w:rsidR="009C0F2A">
        <w:rPr>
          <w:rStyle w:val="FootnoteReference"/>
          <w:rFonts w:eastAsia="Calibri" w:cstheme="minorHAnsi"/>
          <w:sz w:val="22"/>
          <w:szCs w:val="22"/>
          <w:lang w:val="sr-Cyrl-RS"/>
        </w:rPr>
        <w:footnoteReference w:id="14"/>
      </w:r>
      <w:r w:rsidRPr="006436FA">
        <w:rPr>
          <w:rFonts w:eastAsia="Calibri" w:cstheme="minorHAnsi"/>
          <w:sz w:val="22"/>
          <w:szCs w:val="22"/>
          <w:vertAlign w:val="superscript"/>
          <w:lang w:val="sr-Cyrl-RS"/>
        </w:rPr>
        <w:t xml:space="preserve"> </w:t>
      </w:r>
      <w:r>
        <w:rPr>
          <w:rFonts w:eastAsia="Calibri" w:cstheme="minorHAnsi"/>
          <w:sz w:val="22"/>
          <w:szCs w:val="22"/>
          <w:lang w:val="sr-Cyrl-RS"/>
        </w:rPr>
        <w:t xml:space="preserve"> </w:t>
      </w:r>
      <w:r w:rsidRPr="006436FA">
        <w:rPr>
          <w:rFonts w:eastAsia="Calibri" w:cstheme="minorHAnsi"/>
          <w:sz w:val="22"/>
          <w:szCs w:val="22"/>
          <w:lang w:val="sr-Cyrl-RS"/>
        </w:rPr>
        <w:t>Тренутно се на Листи рецензената налази  </w:t>
      </w:r>
      <w:r w:rsidRPr="006436FA">
        <w:rPr>
          <w:rFonts w:eastAsia="Calibri" w:cstheme="minorHAnsi"/>
          <w:sz w:val="22"/>
          <w:szCs w:val="22"/>
          <w:lang w:val="sr-Latn-RS"/>
        </w:rPr>
        <w:t xml:space="preserve">809 </w:t>
      </w:r>
      <w:r w:rsidRPr="006436FA">
        <w:rPr>
          <w:rFonts w:eastAsia="Calibri" w:cstheme="minorHAnsi"/>
          <w:sz w:val="22"/>
          <w:szCs w:val="22"/>
          <w:lang w:val="sr-Cyrl-RS"/>
        </w:rPr>
        <w:t>рецензената</w:t>
      </w:r>
      <w:r w:rsidR="009C0F2A">
        <w:rPr>
          <w:rStyle w:val="FootnoteReference"/>
          <w:rFonts w:eastAsia="Calibri" w:cstheme="minorHAnsi"/>
          <w:sz w:val="22"/>
          <w:szCs w:val="22"/>
          <w:lang w:val="sr-Cyrl-RS"/>
        </w:rPr>
        <w:footnoteReference w:id="15"/>
      </w:r>
      <w:r w:rsidRPr="006436FA">
        <w:rPr>
          <w:rFonts w:eastAsia="Calibri" w:cstheme="minorHAnsi"/>
          <w:sz w:val="22"/>
          <w:szCs w:val="22"/>
          <w:lang w:val="sr-Cyrl-RS"/>
        </w:rPr>
        <w:t xml:space="preserve"> и то: </w:t>
      </w:r>
    </w:p>
    <w:p w:rsidR="002A099D" w:rsidRPr="002A099D" w:rsidRDefault="002A099D" w:rsidP="000C3C72">
      <w:pPr>
        <w:spacing w:after="240" w:line="276" w:lineRule="auto"/>
        <w:rPr>
          <w:rFonts w:eastAsia="Calibri" w:cstheme="minorHAnsi"/>
          <w:sz w:val="22"/>
          <w:szCs w:val="22"/>
          <w:lang w:val="sr-Cyrl-RS"/>
        </w:rPr>
      </w:pPr>
      <w:r>
        <w:rPr>
          <w:rFonts w:eastAsia="Calibri" w:cstheme="minorHAnsi"/>
          <w:sz w:val="22"/>
          <w:szCs w:val="22"/>
          <w:lang w:val="sr-Cyrl-RS"/>
        </w:rPr>
        <w:t xml:space="preserve">Из реда академске заједнице </w:t>
      </w:r>
      <w:r>
        <w:rPr>
          <w:rFonts w:eastAsia="Calibri" w:cstheme="minorHAnsi"/>
          <w:sz w:val="22"/>
          <w:szCs w:val="22"/>
          <w:lang w:val="sr-Cyrl-RS"/>
        </w:rPr>
        <w:tab/>
      </w:r>
      <w:r>
        <w:rPr>
          <w:rFonts w:eastAsia="Calibri" w:cstheme="minorHAnsi"/>
          <w:sz w:val="22"/>
          <w:szCs w:val="22"/>
          <w:lang w:val="sr-Cyrl-RS"/>
        </w:rPr>
        <w:tab/>
      </w:r>
      <w:r>
        <w:rPr>
          <w:rFonts w:eastAsia="Calibri" w:cstheme="minorHAnsi"/>
          <w:sz w:val="22"/>
          <w:szCs w:val="22"/>
          <w:lang w:val="sr-Cyrl-RS"/>
        </w:rPr>
        <w:tab/>
      </w:r>
      <w:r>
        <w:rPr>
          <w:rFonts w:eastAsia="Calibri" w:cstheme="minorHAnsi"/>
          <w:sz w:val="22"/>
          <w:szCs w:val="22"/>
          <w:lang w:val="sr-Cyrl-RS"/>
        </w:rPr>
        <w:tab/>
      </w:r>
      <w:r>
        <w:rPr>
          <w:rFonts w:eastAsia="Calibri" w:cstheme="minorHAnsi"/>
          <w:sz w:val="22"/>
          <w:szCs w:val="22"/>
          <w:lang w:val="sr-Cyrl-RS"/>
        </w:rPr>
        <w:tab/>
      </w:r>
      <w:r w:rsidRPr="002A099D">
        <w:rPr>
          <w:rFonts w:eastAsia="Calibri" w:cstheme="minorHAnsi"/>
          <w:bCs/>
          <w:sz w:val="22"/>
          <w:szCs w:val="22"/>
          <w:lang w:val="sr-Cyrl-RS"/>
        </w:rPr>
        <w:t>6</w:t>
      </w:r>
      <w:r w:rsidRPr="002A099D">
        <w:rPr>
          <w:rFonts w:eastAsia="Calibri" w:cstheme="minorHAnsi"/>
          <w:bCs/>
          <w:sz w:val="22"/>
          <w:szCs w:val="22"/>
          <w:lang w:val="sr-Latn-RS"/>
        </w:rPr>
        <w:t>66</w:t>
      </w:r>
    </w:p>
    <w:p w:rsidR="002A099D" w:rsidRPr="002A099D" w:rsidRDefault="002A099D" w:rsidP="002A099D">
      <w:pPr>
        <w:numPr>
          <w:ilvl w:val="0"/>
          <w:numId w:val="22"/>
        </w:numPr>
        <w:spacing w:line="276" w:lineRule="auto"/>
        <w:rPr>
          <w:rFonts w:eastAsia="Calibri" w:cstheme="minorHAnsi"/>
          <w:sz w:val="22"/>
          <w:szCs w:val="22"/>
          <w:lang w:val="sr-Cyrl-RS"/>
        </w:rPr>
      </w:pPr>
      <w:r w:rsidRPr="002A099D">
        <w:rPr>
          <w:rFonts w:eastAsia="Calibri" w:cstheme="minorHAnsi"/>
          <w:sz w:val="22"/>
          <w:szCs w:val="22"/>
          <w:lang w:val="sr-Cyrl-RS"/>
        </w:rPr>
        <w:t xml:space="preserve">Природне науке </w:t>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sidRPr="002A099D">
        <w:rPr>
          <w:rFonts w:eastAsia="Calibri" w:cstheme="minorHAnsi"/>
          <w:bCs/>
          <w:sz w:val="22"/>
          <w:szCs w:val="22"/>
          <w:lang w:val="sr-Cyrl-RS"/>
        </w:rPr>
        <w:t>9</w:t>
      </w:r>
      <w:r w:rsidRPr="002A099D">
        <w:rPr>
          <w:rFonts w:eastAsia="Calibri" w:cstheme="minorHAnsi"/>
          <w:bCs/>
          <w:sz w:val="22"/>
          <w:szCs w:val="22"/>
          <w:lang w:val="sr-Latn-RS"/>
        </w:rPr>
        <w:t>3</w:t>
      </w:r>
    </w:p>
    <w:p w:rsidR="002A099D" w:rsidRPr="002A099D" w:rsidRDefault="002A099D" w:rsidP="002A099D">
      <w:pPr>
        <w:numPr>
          <w:ilvl w:val="0"/>
          <w:numId w:val="22"/>
        </w:numPr>
        <w:spacing w:line="276" w:lineRule="auto"/>
        <w:rPr>
          <w:rFonts w:eastAsia="Calibri" w:cstheme="minorHAnsi"/>
          <w:sz w:val="22"/>
          <w:szCs w:val="22"/>
          <w:lang w:val="sr-Cyrl-RS"/>
        </w:rPr>
      </w:pPr>
      <w:r w:rsidRPr="002A099D">
        <w:rPr>
          <w:rFonts w:eastAsia="Calibri" w:cstheme="minorHAnsi"/>
          <w:sz w:val="22"/>
          <w:szCs w:val="22"/>
          <w:lang w:val="sr-Cyrl-RS"/>
        </w:rPr>
        <w:t xml:space="preserve">Инжењерство и технологија </w:t>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sidRPr="002A099D">
        <w:rPr>
          <w:rFonts w:eastAsia="Calibri" w:cstheme="minorHAnsi"/>
          <w:bCs/>
          <w:sz w:val="22"/>
          <w:szCs w:val="22"/>
          <w:lang w:val="sr-Cyrl-RS"/>
        </w:rPr>
        <w:t>16</w:t>
      </w:r>
      <w:r w:rsidRPr="002A099D">
        <w:rPr>
          <w:rFonts w:eastAsia="Calibri" w:cstheme="minorHAnsi"/>
          <w:bCs/>
          <w:sz w:val="22"/>
          <w:szCs w:val="22"/>
          <w:lang w:val="sr-Latn-RS"/>
        </w:rPr>
        <w:t>4</w:t>
      </w:r>
    </w:p>
    <w:p w:rsidR="002A099D" w:rsidRPr="002A099D" w:rsidRDefault="002A099D" w:rsidP="002A099D">
      <w:pPr>
        <w:numPr>
          <w:ilvl w:val="0"/>
          <w:numId w:val="22"/>
        </w:numPr>
        <w:spacing w:line="276" w:lineRule="auto"/>
        <w:rPr>
          <w:rFonts w:eastAsia="Calibri" w:cstheme="minorHAnsi"/>
          <w:sz w:val="22"/>
          <w:szCs w:val="22"/>
          <w:lang w:val="sr-Cyrl-RS"/>
        </w:rPr>
      </w:pPr>
      <w:r w:rsidRPr="002A099D">
        <w:rPr>
          <w:rFonts w:eastAsia="Calibri" w:cstheme="minorHAnsi"/>
          <w:sz w:val="22"/>
          <w:szCs w:val="22"/>
          <w:lang w:val="sr-Cyrl-RS"/>
        </w:rPr>
        <w:t xml:space="preserve">Медицинске и здравствене науке </w:t>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sidRPr="002A099D">
        <w:rPr>
          <w:rFonts w:eastAsia="Calibri" w:cstheme="minorHAnsi"/>
          <w:bCs/>
          <w:sz w:val="22"/>
          <w:szCs w:val="22"/>
          <w:lang w:val="sr-Cyrl-RS"/>
        </w:rPr>
        <w:t>6</w:t>
      </w:r>
      <w:r w:rsidRPr="002A099D">
        <w:rPr>
          <w:rFonts w:eastAsia="Calibri" w:cstheme="minorHAnsi"/>
          <w:bCs/>
          <w:sz w:val="22"/>
          <w:szCs w:val="22"/>
          <w:lang w:val="sr-Latn-RS"/>
        </w:rPr>
        <w:t>3</w:t>
      </w:r>
    </w:p>
    <w:p w:rsidR="002A099D" w:rsidRPr="002A099D" w:rsidRDefault="002A099D" w:rsidP="002A099D">
      <w:pPr>
        <w:numPr>
          <w:ilvl w:val="0"/>
          <w:numId w:val="22"/>
        </w:numPr>
        <w:spacing w:line="276" w:lineRule="auto"/>
        <w:rPr>
          <w:rFonts w:eastAsia="Calibri" w:cstheme="minorHAnsi"/>
          <w:sz w:val="22"/>
          <w:szCs w:val="22"/>
          <w:lang w:val="sr-Cyrl-RS"/>
        </w:rPr>
      </w:pPr>
      <w:r w:rsidRPr="002A099D">
        <w:rPr>
          <w:rFonts w:eastAsia="Calibri" w:cstheme="minorHAnsi"/>
          <w:sz w:val="22"/>
          <w:szCs w:val="22"/>
          <w:lang w:val="sr-Cyrl-RS"/>
        </w:rPr>
        <w:t xml:space="preserve">Пољопривредне науке </w:t>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sidRPr="002A099D">
        <w:rPr>
          <w:rFonts w:eastAsia="Calibri" w:cstheme="minorHAnsi"/>
          <w:bCs/>
          <w:sz w:val="22"/>
          <w:szCs w:val="22"/>
          <w:lang w:val="sr-Cyrl-RS"/>
        </w:rPr>
        <w:t>2</w:t>
      </w:r>
      <w:r w:rsidRPr="002A099D">
        <w:rPr>
          <w:rFonts w:eastAsia="Calibri" w:cstheme="minorHAnsi"/>
          <w:bCs/>
          <w:sz w:val="22"/>
          <w:szCs w:val="22"/>
          <w:lang w:val="sr-Latn-RS"/>
        </w:rPr>
        <w:t>3</w:t>
      </w:r>
    </w:p>
    <w:p w:rsidR="002A099D" w:rsidRPr="002A099D" w:rsidRDefault="002A099D" w:rsidP="002A099D">
      <w:pPr>
        <w:numPr>
          <w:ilvl w:val="0"/>
          <w:numId w:val="22"/>
        </w:numPr>
        <w:spacing w:line="276" w:lineRule="auto"/>
        <w:rPr>
          <w:rFonts w:eastAsia="Calibri" w:cstheme="minorHAnsi"/>
          <w:sz w:val="22"/>
          <w:szCs w:val="22"/>
          <w:lang w:val="sr-Cyrl-RS"/>
        </w:rPr>
      </w:pPr>
      <w:r w:rsidRPr="002A099D">
        <w:rPr>
          <w:rFonts w:eastAsia="Calibri" w:cstheme="minorHAnsi"/>
          <w:sz w:val="22"/>
          <w:szCs w:val="22"/>
          <w:lang w:val="sr-Cyrl-RS"/>
        </w:rPr>
        <w:t xml:space="preserve">Друштвене науке </w:t>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sidRPr="002A099D">
        <w:rPr>
          <w:rFonts w:eastAsia="Calibri" w:cstheme="minorHAnsi"/>
          <w:bCs/>
          <w:sz w:val="22"/>
          <w:szCs w:val="22"/>
          <w:lang w:val="sr-Cyrl-RS"/>
        </w:rPr>
        <w:t>2</w:t>
      </w:r>
      <w:r w:rsidRPr="002A099D">
        <w:rPr>
          <w:rFonts w:eastAsia="Calibri" w:cstheme="minorHAnsi"/>
          <w:bCs/>
          <w:sz w:val="22"/>
          <w:szCs w:val="22"/>
          <w:lang w:val="sr-Latn-RS"/>
        </w:rPr>
        <w:t>44</w:t>
      </w:r>
    </w:p>
    <w:p w:rsidR="002A099D" w:rsidRPr="002A099D" w:rsidRDefault="002A099D" w:rsidP="002A099D">
      <w:pPr>
        <w:numPr>
          <w:ilvl w:val="0"/>
          <w:numId w:val="22"/>
        </w:numPr>
        <w:spacing w:line="276" w:lineRule="auto"/>
        <w:rPr>
          <w:rFonts w:eastAsia="Calibri" w:cstheme="minorHAnsi"/>
          <w:sz w:val="22"/>
          <w:szCs w:val="22"/>
          <w:lang w:val="sr-Cyrl-RS"/>
        </w:rPr>
      </w:pPr>
      <w:r w:rsidRPr="002A099D">
        <w:rPr>
          <w:rFonts w:eastAsia="Calibri" w:cstheme="minorHAnsi"/>
          <w:sz w:val="22"/>
          <w:szCs w:val="22"/>
          <w:lang w:val="sr-Cyrl-RS"/>
        </w:rPr>
        <w:t xml:space="preserve">Хуманистичке науке </w:t>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sidRPr="002A099D">
        <w:rPr>
          <w:rFonts w:eastAsia="Calibri" w:cstheme="minorHAnsi"/>
          <w:bCs/>
          <w:sz w:val="22"/>
          <w:szCs w:val="22"/>
          <w:lang w:val="sr-Latn-RS"/>
        </w:rPr>
        <w:t>79</w:t>
      </w:r>
    </w:p>
    <w:p w:rsidR="002A099D" w:rsidRPr="002A099D" w:rsidRDefault="002A099D" w:rsidP="000C3C72">
      <w:pPr>
        <w:spacing w:before="240" w:line="276" w:lineRule="auto"/>
        <w:rPr>
          <w:rFonts w:eastAsia="Calibri" w:cstheme="minorHAnsi"/>
          <w:sz w:val="22"/>
          <w:szCs w:val="22"/>
          <w:lang w:val="sr-Latn-RS"/>
        </w:rPr>
      </w:pPr>
      <w:r w:rsidRPr="002A099D">
        <w:rPr>
          <w:rFonts w:eastAsia="Calibri" w:cstheme="minorHAnsi"/>
          <w:sz w:val="22"/>
          <w:szCs w:val="22"/>
          <w:lang w:val="sr-Cyrl-RS"/>
        </w:rPr>
        <w:t xml:space="preserve">Из реда студената </w:t>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Pr>
          <w:rFonts w:eastAsia="Calibri" w:cstheme="minorHAnsi"/>
          <w:bCs/>
          <w:sz w:val="22"/>
          <w:szCs w:val="22"/>
          <w:lang w:val="sr-Cyrl-RS"/>
        </w:rPr>
        <w:tab/>
      </w:r>
      <w:r w:rsidRPr="002A099D">
        <w:rPr>
          <w:rFonts w:eastAsia="Calibri" w:cstheme="minorHAnsi"/>
          <w:bCs/>
          <w:sz w:val="22"/>
          <w:szCs w:val="22"/>
          <w:lang w:val="sr-Latn-RS"/>
        </w:rPr>
        <w:t>70</w:t>
      </w:r>
    </w:p>
    <w:p w:rsidR="002A099D" w:rsidRPr="002A099D" w:rsidRDefault="002A099D" w:rsidP="000C3C72">
      <w:pPr>
        <w:spacing w:before="240" w:line="276" w:lineRule="auto"/>
        <w:rPr>
          <w:rFonts w:eastAsia="Calibri" w:cstheme="minorHAnsi"/>
          <w:bCs/>
          <w:sz w:val="22"/>
          <w:szCs w:val="22"/>
          <w:lang w:val="sr-Latn-RS"/>
        </w:rPr>
      </w:pPr>
      <w:r w:rsidRPr="002A099D">
        <w:rPr>
          <w:rFonts w:eastAsia="Calibri" w:cstheme="minorHAnsi"/>
          <w:sz w:val="22"/>
          <w:szCs w:val="22"/>
          <w:lang w:val="sr-Cyrl-RS"/>
        </w:rPr>
        <w:t xml:space="preserve">Из реда привреде и праксе </w:t>
      </w:r>
      <w:r>
        <w:rPr>
          <w:rFonts w:eastAsia="Calibri" w:cstheme="minorHAnsi"/>
          <w:sz w:val="22"/>
          <w:szCs w:val="22"/>
          <w:lang w:val="sr-Cyrl-RS"/>
        </w:rPr>
        <w:t xml:space="preserve"> </w:t>
      </w:r>
      <w:r>
        <w:rPr>
          <w:rFonts w:eastAsia="Calibri" w:cstheme="minorHAnsi"/>
          <w:sz w:val="22"/>
          <w:szCs w:val="22"/>
          <w:lang w:val="sr-Cyrl-RS"/>
        </w:rPr>
        <w:tab/>
      </w:r>
      <w:r>
        <w:rPr>
          <w:rFonts w:eastAsia="Calibri" w:cstheme="minorHAnsi"/>
          <w:sz w:val="22"/>
          <w:szCs w:val="22"/>
          <w:lang w:val="sr-Cyrl-RS"/>
        </w:rPr>
        <w:tab/>
      </w:r>
      <w:r>
        <w:rPr>
          <w:rFonts w:eastAsia="Calibri" w:cstheme="minorHAnsi"/>
          <w:sz w:val="22"/>
          <w:szCs w:val="22"/>
          <w:lang w:val="sr-Cyrl-RS"/>
        </w:rPr>
        <w:tab/>
      </w:r>
      <w:r>
        <w:rPr>
          <w:rFonts w:eastAsia="Calibri" w:cstheme="minorHAnsi"/>
          <w:sz w:val="22"/>
          <w:szCs w:val="22"/>
          <w:lang w:val="sr-Cyrl-RS"/>
        </w:rPr>
        <w:tab/>
      </w:r>
      <w:r>
        <w:rPr>
          <w:rFonts w:eastAsia="Calibri" w:cstheme="minorHAnsi"/>
          <w:sz w:val="22"/>
          <w:szCs w:val="22"/>
          <w:lang w:val="sr-Cyrl-RS"/>
        </w:rPr>
        <w:tab/>
      </w:r>
      <w:r w:rsidRPr="002A099D">
        <w:rPr>
          <w:rFonts w:eastAsia="Calibri" w:cstheme="minorHAnsi"/>
          <w:bCs/>
          <w:sz w:val="22"/>
          <w:szCs w:val="22"/>
          <w:lang w:val="sr-Latn-RS"/>
        </w:rPr>
        <w:t>73</w:t>
      </w:r>
    </w:p>
    <w:p w:rsidR="0001047B" w:rsidRDefault="0001047B" w:rsidP="000C3C72">
      <w:pPr>
        <w:spacing w:line="276" w:lineRule="auto"/>
        <w:rPr>
          <w:rFonts w:eastAsia="Calibri" w:cstheme="minorHAnsi"/>
          <w:b/>
          <w:i/>
          <w:sz w:val="22"/>
          <w:szCs w:val="22"/>
          <w:lang w:val="sr-Cyrl-RS"/>
        </w:rPr>
      </w:pPr>
    </w:p>
    <w:p w:rsidR="0001047B" w:rsidRPr="009C0F2A" w:rsidRDefault="0001047B" w:rsidP="009C0F2A">
      <w:pPr>
        <w:pStyle w:val="a0"/>
        <w:numPr>
          <w:ilvl w:val="1"/>
          <w:numId w:val="8"/>
        </w:numPr>
        <w:tabs>
          <w:tab w:val="left" w:pos="1134"/>
        </w:tabs>
        <w:ind w:left="851" w:hanging="284"/>
        <w:rPr>
          <w:rFonts w:cstheme="minorHAnsi"/>
          <w:i/>
          <w:color w:val="323E4F" w:themeColor="text2" w:themeShade="BF"/>
          <w:lang w:val="en-GB"/>
        </w:rPr>
      </w:pPr>
      <w:r>
        <w:rPr>
          <w:rFonts w:asciiTheme="minorHAnsi" w:hAnsiTheme="minorHAnsi" w:cstheme="minorHAnsi"/>
          <w:color w:val="323E4F" w:themeColor="text2" w:themeShade="BF"/>
          <w:sz w:val="22"/>
          <w:szCs w:val="22"/>
        </w:rPr>
        <w:t xml:space="preserve"> </w:t>
      </w:r>
      <w:bookmarkStart w:id="8" w:name="_Toc190682510"/>
      <w:r w:rsidRPr="009C0F2A">
        <w:rPr>
          <w:rFonts w:asciiTheme="minorHAnsi" w:hAnsiTheme="minorHAnsi" w:cstheme="minorHAnsi"/>
          <w:color w:val="323E4F" w:themeColor="text2" w:themeShade="BF"/>
        </w:rPr>
        <w:t>МЕЂУНАРОДНА САРАДЊА</w:t>
      </w:r>
      <w:bookmarkEnd w:id="8"/>
      <w:r w:rsidRPr="009C0F2A">
        <w:rPr>
          <w:rFonts w:asciiTheme="minorHAnsi" w:hAnsiTheme="minorHAnsi" w:cstheme="minorHAnsi"/>
          <w:color w:val="323E4F" w:themeColor="text2" w:themeShade="BF"/>
        </w:rPr>
        <w:t xml:space="preserve"> </w:t>
      </w:r>
    </w:p>
    <w:p w:rsidR="0001047B" w:rsidRPr="002F282D" w:rsidRDefault="0001047B" w:rsidP="004D3D46">
      <w:pPr>
        <w:spacing w:line="276" w:lineRule="auto"/>
        <w:jc w:val="both"/>
        <w:rPr>
          <w:rFonts w:eastAsia="Calibri" w:cstheme="minorHAnsi"/>
          <w:b/>
          <w:color w:val="FF0000"/>
          <w:sz w:val="22"/>
          <w:szCs w:val="22"/>
          <w:lang w:val="sr-Cyrl-RS"/>
        </w:rPr>
      </w:pPr>
    </w:p>
    <w:p w:rsidR="0001047B" w:rsidRPr="009C0F2A" w:rsidRDefault="0001047B" w:rsidP="0001047B">
      <w:pPr>
        <w:pStyle w:val="a1"/>
        <w:numPr>
          <w:ilvl w:val="2"/>
          <w:numId w:val="8"/>
        </w:numPr>
        <w:rPr>
          <w:rFonts w:asciiTheme="minorHAnsi" w:hAnsiTheme="minorHAnsi" w:cstheme="minorHAnsi"/>
          <w:color w:val="FF0000"/>
        </w:rPr>
      </w:pPr>
      <w:r>
        <w:rPr>
          <w:rFonts w:asciiTheme="minorHAnsi" w:hAnsiTheme="minorHAnsi" w:cstheme="minorHAnsi"/>
          <w:color w:val="323E4F" w:themeColor="text2" w:themeShade="BF"/>
          <w:sz w:val="22"/>
          <w:szCs w:val="22"/>
          <w:lang w:val="sr-Latn-RS"/>
        </w:rPr>
        <w:t xml:space="preserve"> </w:t>
      </w:r>
      <w:r w:rsidRPr="009C0F2A">
        <w:rPr>
          <w:rFonts w:asciiTheme="minorHAnsi" w:hAnsiTheme="minorHAnsi" w:cstheme="minorHAnsi"/>
          <w:color w:val="323E4F" w:themeColor="text2" w:themeShade="BF"/>
        </w:rPr>
        <w:t xml:space="preserve">Сарадња са агенцијама у </w:t>
      </w:r>
      <w:r w:rsidR="00CE2067">
        <w:rPr>
          <w:rFonts w:asciiTheme="minorHAnsi" w:hAnsiTheme="minorHAnsi" w:cstheme="minorHAnsi"/>
          <w:color w:val="323E4F" w:themeColor="text2" w:themeShade="BF"/>
        </w:rPr>
        <w:t>Европском простору високог образовања</w:t>
      </w:r>
    </w:p>
    <w:p w:rsidR="0001047B" w:rsidRPr="008464DC" w:rsidRDefault="0001047B" w:rsidP="0001047B">
      <w:pPr>
        <w:spacing w:line="276" w:lineRule="auto"/>
        <w:jc w:val="both"/>
        <w:rPr>
          <w:rFonts w:cstheme="minorHAnsi"/>
          <w:sz w:val="22"/>
          <w:szCs w:val="22"/>
        </w:rPr>
      </w:pPr>
    </w:p>
    <w:p w:rsidR="0001047B" w:rsidRPr="008464DC" w:rsidRDefault="0001047B" w:rsidP="0001047B">
      <w:pPr>
        <w:spacing w:after="200" w:line="276" w:lineRule="auto"/>
        <w:contextualSpacing/>
        <w:jc w:val="both"/>
        <w:rPr>
          <w:rFonts w:cstheme="minorHAnsi"/>
          <w:sz w:val="22"/>
          <w:szCs w:val="22"/>
        </w:rPr>
      </w:pPr>
      <w:r w:rsidRPr="008464DC">
        <w:rPr>
          <w:rFonts w:cstheme="minorHAnsi"/>
          <w:sz w:val="22"/>
          <w:szCs w:val="22"/>
        </w:rPr>
        <w:t>Агенција је придружени члан Европске асоцијације за обезбјеђење квалитета у високом образовању (</w:t>
      </w:r>
      <w:proofErr w:type="gramStart"/>
      <w:r w:rsidRPr="008464DC">
        <w:rPr>
          <w:rFonts w:cstheme="minorHAnsi"/>
          <w:sz w:val="22"/>
          <w:szCs w:val="22"/>
        </w:rPr>
        <w:t>ENQA</w:t>
      </w:r>
      <w:r w:rsidRPr="008464DC">
        <w:rPr>
          <w:rFonts w:cstheme="minorHAnsi"/>
        </w:rPr>
        <w:t xml:space="preserve"> </w:t>
      </w:r>
      <w:r w:rsidRPr="008464DC">
        <w:rPr>
          <w:rFonts w:cstheme="minorHAnsi"/>
          <w:sz w:val="22"/>
          <w:szCs w:val="22"/>
        </w:rPr>
        <w:t>)</w:t>
      </w:r>
      <w:proofErr w:type="gramEnd"/>
      <w:r w:rsidRPr="008464DC">
        <w:rPr>
          <w:rFonts w:cstheme="minorHAnsi"/>
          <w:sz w:val="22"/>
          <w:szCs w:val="22"/>
        </w:rPr>
        <w:t xml:space="preserve"> од 2018. године. Агенција је један од партнера на пројекту </w:t>
      </w:r>
      <w:r w:rsidRPr="001A4B0E">
        <w:rPr>
          <w:rFonts w:cstheme="minorHAnsi"/>
          <w:i/>
          <w:sz w:val="22"/>
          <w:szCs w:val="22"/>
        </w:rPr>
        <w:t>Подршка европским агенцијама за осигурање квалитета у испуњавању Европских стандарда и смјерница</w:t>
      </w:r>
      <w:r w:rsidRPr="008464DC">
        <w:rPr>
          <w:rFonts w:cstheme="minorHAnsi"/>
          <w:sz w:val="22"/>
          <w:szCs w:val="22"/>
        </w:rPr>
        <w:t xml:space="preserve"> (ESG),</w:t>
      </w:r>
      <w:r w:rsidRPr="00264200">
        <w:rPr>
          <w:rFonts w:cstheme="minorHAnsi"/>
          <w:vertAlign w:val="superscript"/>
        </w:rPr>
        <w:footnoteReference w:id="16"/>
      </w:r>
      <w:r>
        <w:rPr>
          <w:rFonts w:cstheme="minorHAnsi"/>
          <w:sz w:val="22"/>
          <w:szCs w:val="22"/>
        </w:rPr>
        <w:t xml:space="preserve"> који координише ENQA. </w:t>
      </w:r>
      <w:r>
        <w:rPr>
          <w:rFonts w:cstheme="minorHAnsi"/>
          <w:sz w:val="22"/>
          <w:szCs w:val="22"/>
          <w:lang w:val="sr-Cyrl-RS"/>
        </w:rPr>
        <w:t>У априлу</w:t>
      </w:r>
      <w:r w:rsidRPr="008464DC">
        <w:rPr>
          <w:rFonts w:cstheme="minorHAnsi"/>
          <w:sz w:val="22"/>
          <w:szCs w:val="22"/>
        </w:rPr>
        <w:t xml:space="preserve"> 2024. године представници Агенције учествов</w:t>
      </w:r>
      <w:r w:rsidR="004D3D46">
        <w:rPr>
          <w:rFonts w:cstheme="minorHAnsi"/>
          <w:sz w:val="22"/>
          <w:szCs w:val="22"/>
        </w:rPr>
        <w:t xml:space="preserve">али су у раду вебинара на тему </w:t>
      </w:r>
      <w:r w:rsidRPr="004D3D46">
        <w:rPr>
          <w:rFonts w:cstheme="minorHAnsi"/>
          <w:i/>
          <w:sz w:val="22"/>
          <w:szCs w:val="22"/>
        </w:rPr>
        <w:t>Будућност обезбјеђења квалитета – перспектива агенција</w:t>
      </w:r>
      <w:r w:rsidRPr="008464DC">
        <w:rPr>
          <w:rFonts w:cstheme="minorHAnsi"/>
          <w:sz w:val="22"/>
          <w:szCs w:val="22"/>
        </w:rPr>
        <w:t xml:space="preserve"> у организацији </w:t>
      </w:r>
      <w:r>
        <w:rPr>
          <w:rFonts w:cstheme="minorHAnsi"/>
          <w:sz w:val="22"/>
          <w:szCs w:val="22"/>
        </w:rPr>
        <w:t>ENQA</w:t>
      </w:r>
      <w:r w:rsidRPr="008464DC">
        <w:rPr>
          <w:rFonts w:cstheme="minorHAnsi"/>
          <w:sz w:val="22"/>
          <w:szCs w:val="22"/>
        </w:rPr>
        <w:t xml:space="preserve">. </w:t>
      </w:r>
      <w:r>
        <w:rPr>
          <w:rFonts w:cstheme="minorHAnsi"/>
          <w:sz w:val="22"/>
          <w:szCs w:val="22"/>
        </w:rPr>
        <w:t xml:space="preserve"> </w:t>
      </w:r>
      <w:r w:rsidRPr="008464DC">
        <w:rPr>
          <w:rFonts w:cstheme="minorHAnsi"/>
          <w:sz w:val="22"/>
          <w:szCs w:val="22"/>
        </w:rPr>
        <w:t xml:space="preserve">У октобру 2024. године </w:t>
      </w:r>
      <w:r>
        <w:rPr>
          <w:rFonts w:cstheme="minorHAnsi"/>
          <w:sz w:val="22"/>
          <w:szCs w:val="22"/>
          <w:lang w:val="sr-Cyrl-RS"/>
        </w:rPr>
        <w:t>на</w:t>
      </w:r>
      <w:r w:rsidRPr="008464DC">
        <w:rPr>
          <w:rFonts w:cstheme="minorHAnsi"/>
          <w:sz w:val="22"/>
          <w:szCs w:val="22"/>
        </w:rPr>
        <w:t xml:space="preserve"> Малт</w:t>
      </w:r>
      <w:r>
        <w:rPr>
          <w:rFonts w:cstheme="minorHAnsi"/>
          <w:sz w:val="22"/>
          <w:szCs w:val="22"/>
          <w:lang w:val="sr-Cyrl-RS"/>
        </w:rPr>
        <w:t>и је</w:t>
      </w:r>
      <w:r>
        <w:rPr>
          <w:rFonts w:cstheme="minorHAnsi"/>
          <w:sz w:val="22"/>
          <w:szCs w:val="22"/>
        </w:rPr>
        <w:t xml:space="preserve"> одржана</w:t>
      </w:r>
      <w:r w:rsidRPr="008464DC">
        <w:rPr>
          <w:rFonts w:cstheme="minorHAnsi"/>
          <w:sz w:val="22"/>
          <w:szCs w:val="22"/>
        </w:rPr>
        <w:t xml:space="preserve"> Генерална скупштина ENQA-e. </w:t>
      </w:r>
      <w:r>
        <w:rPr>
          <w:rFonts w:cstheme="minorHAnsi"/>
          <w:sz w:val="22"/>
          <w:szCs w:val="22"/>
          <w:lang w:val="sr-Cyrl-RS"/>
        </w:rPr>
        <w:t>П</w:t>
      </w:r>
      <w:r w:rsidRPr="008464DC">
        <w:rPr>
          <w:rFonts w:cstheme="minorHAnsi"/>
          <w:sz w:val="22"/>
          <w:szCs w:val="22"/>
        </w:rPr>
        <w:t xml:space="preserve">редставници Агенције и </w:t>
      </w:r>
      <w:r>
        <w:rPr>
          <w:rFonts w:cstheme="minorHAnsi"/>
          <w:sz w:val="22"/>
          <w:szCs w:val="22"/>
          <w:lang w:val="sr-Cyrl-RS"/>
        </w:rPr>
        <w:t xml:space="preserve">ХЕА су имали презентацију на тему </w:t>
      </w:r>
      <w:r w:rsidRPr="008464DC">
        <w:rPr>
          <w:rFonts w:cstheme="minorHAnsi"/>
          <w:sz w:val="22"/>
          <w:szCs w:val="22"/>
        </w:rPr>
        <w:t>сарадњ</w:t>
      </w:r>
      <w:r>
        <w:rPr>
          <w:rFonts w:cstheme="minorHAnsi"/>
          <w:sz w:val="22"/>
          <w:szCs w:val="22"/>
          <w:lang w:val="sr-Cyrl-RS"/>
        </w:rPr>
        <w:t>е</w:t>
      </w:r>
      <w:r w:rsidRPr="008464DC">
        <w:rPr>
          <w:rFonts w:cstheme="minorHAnsi"/>
          <w:sz w:val="22"/>
          <w:szCs w:val="22"/>
        </w:rPr>
        <w:t xml:space="preserve"> </w:t>
      </w:r>
      <w:r>
        <w:rPr>
          <w:rFonts w:cstheme="minorHAnsi"/>
          <w:sz w:val="22"/>
          <w:szCs w:val="22"/>
          <w:lang w:val="sr-Cyrl-RS"/>
        </w:rPr>
        <w:t xml:space="preserve">између агенција у поступцима акредитације, те су представљене надлежности агенција у области осигурања квалитета.  На тај начин </w:t>
      </w:r>
      <w:r w:rsidRPr="008464DC">
        <w:rPr>
          <w:rFonts w:cstheme="minorHAnsi"/>
          <w:sz w:val="22"/>
          <w:szCs w:val="22"/>
        </w:rPr>
        <w:t>агенција</w:t>
      </w:r>
      <w:r>
        <w:rPr>
          <w:rFonts w:cstheme="minorHAnsi"/>
          <w:sz w:val="22"/>
          <w:szCs w:val="22"/>
          <w:lang w:val="sr-Cyrl-RS"/>
        </w:rPr>
        <w:t>ма</w:t>
      </w:r>
      <w:r w:rsidRPr="008464DC">
        <w:rPr>
          <w:rFonts w:cstheme="minorHAnsi"/>
          <w:sz w:val="22"/>
          <w:szCs w:val="22"/>
        </w:rPr>
        <w:t xml:space="preserve"> за осигурање квалитета у Европском простору високог образовања </w:t>
      </w:r>
      <w:r>
        <w:rPr>
          <w:rFonts w:cstheme="minorHAnsi"/>
          <w:sz w:val="22"/>
          <w:szCs w:val="22"/>
          <w:lang w:val="sr-Cyrl-RS"/>
        </w:rPr>
        <w:t>су представљене</w:t>
      </w:r>
      <w:r w:rsidRPr="008464DC">
        <w:rPr>
          <w:rFonts w:cstheme="minorHAnsi"/>
          <w:sz w:val="22"/>
          <w:szCs w:val="22"/>
        </w:rPr>
        <w:t xml:space="preserve"> надлежности, рад</w:t>
      </w:r>
      <w:r>
        <w:rPr>
          <w:rFonts w:cstheme="minorHAnsi"/>
          <w:sz w:val="22"/>
          <w:szCs w:val="22"/>
          <w:lang w:val="sr-Cyrl-RS"/>
        </w:rPr>
        <w:t xml:space="preserve"> </w:t>
      </w:r>
      <w:r w:rsidRPr="008464DC">
        <w:rPr>
          <w:rFonts w:cstheme="minorHAnsi"/>
          <w:sz w:val="22"/>
          <w:szCs w:val="22"/>
        </w:rPr>
        <w:t>и организациј</w:t>
      </w:r>
      <w:r>
        <w:rPr>
          <w:rFonts w:cstheme="minorHAnsi"/>
          <w:sz w:val="22"/>
          <w:szCs w:val="22"/>
          <w:lang w:val="sr-Cyrl-RS"/>
        </w:rPr>
        <w:t>а</w:t>
      </w:r>
      <w:r w:rsidRPr="008464DC">
        <w:rPr>
          <w:rFonts w:cstheme="minorHAnsi"/>
          <w:sz w:val="22"/>
          <w:szCs w:val="22"/>
        </w:rPr>
        <w:t xml:space="preserve"> осигурања квалитета у високом образовању Републике Српске и БиХ.</w:t>
      </w:r>
    </w:p>
    <w:p w:rsidR="0001047B" w:rsidRPr="008464DC" w:rsidRDefault="0001047B" w:rsidP="0001047B">
      <w:pPr>
        <w:spacing w:after="200" w:line="276" w:lineRule="auto"/>
        <w:contextualSpacing/>
        <w:jc w:val="both"/>
        <w:rPr>
          <w:rFonts w:cstheme="minorHAnsi"/>
          <w:sz w:val="22"/>
          <w:szCs w:val="22"/>
        </w:rPr>
      </w:pPr>
    </w:p>
    <w:p w:rsidR="0001047B" w:rsidRPr="008464DC" w:rsidRDefault="0001047B" w:rsidP="0001047B">
      <w:pPr>
        <w:spacing w:after="240" w:line="276" w:lineRule="auto"/>
        <w:jc w:val="both"/>
        <w:rPr>
          <w:rFonts w:cstheme="minorHAnsi"/>
          <w:sz w:val="22"/>
          <w:szCs w:val="22"/>
        </w:rPr>
      </w:pPr>
      <w:r w:rsidRPr="008464DC">
        <w:rPr>
          <w:rFonts w:cstheme="minorHAnsi"/>
          <w:sz w:val="22"/>
          <w:szCs w:val="22"/>
        </w:rPr>
        <w:t>Агенција је пуноправни члан Мреже агенција за осигурање квалитета у високом образовању Централне и Источне Европе</w:t>
      </w:r>
      <w:r w:rsidR="00CE2067">
        <w:rPr>
          <w:rFonts w:cstheme="minorHAnsi"/>
          <w:sz w:val="22"/>
          <w:szCs w:val="22"/>
        </w:rPr>
        <w:t xml:space="preserve"> </w:t>
      </w:r>
      <w:r w:rsidRPr="00011509">
        <w:rPr>
          <w:rFonts w:cstheme="minorHAnsi"/>
          <w:sz w:val="22"/>
          <w:szCs w:val="22"/>
          <w:vertAlign w:val="superscript"/>
        </w:rPr>
        <w:t xml:space="preserve"> </w:t>
      </w:r>
      <w:r w:rsidRPr="008464DC">
        <w:rPr>
          <w:rFonts w:cstheme="minorHAnsi"/>
          <w:sz w:val="22"/>
          <w:szCs w:val="22"/>
        </w:rPr>
        <w:t>(CEENQA)</w:t>
      </w:r>
      <w:r w:rsidR="00CE2067" w:rsidRPr="00011509">
        <w:rPr>
          <w:rFonts w:cstheme="minorHAnsi"/>
          <w:vertAlign w:val="superscript"/>
        </w:rPr>
        <w:footnoteReference w:id="17"/>
      </w:r>
      <w:r w:rsidR="00CE2067" w:rsidRPr="00011509">
        <w:rPr>
          <w:rFonts w:cstheme="minorHAnsi"/>
          <w:sz w:val="22"/>
          <w:szCs w:val="22"/>
          <w:vertAlign w:val="superscript"/>
        </w:rPr>
        <w:t xml:space="preserve"> </w:t>
      </w:r>
      <w:r w:rsidRPr="008464DC">
        <w:rPr>
          <w:rFonts w:cstheme="minorHAnsi"/>
          <w:sz w:val="22"/>
          <w:szCs w:val="22"/>
        </w:rPr>
        <w:t xml:space="preserve"> од 2013. године.  Представници Агенције су током 2024. године учествовали на свим редовним двомјесечним састанцима CEENQA мреже.  У мају 2024. године</w:t>
      </w:r>
      <w:r w:rsidR="001A4B0E" w:rsidRPr="001A4B0E">
        <w:rPr>
          <w:rFonts w:cstheme="minorHAnsi"/>
          <w:sz w:val="22"/>
          <w:szCs w:val="22"/>
        </w:rPr>
        <w:t xml:space="preserve"> </w:t>
      </w:r>
      <w:r w:rsidR="001A4B0E" w:rsidRPr="008464DC">
        <w:rPr>
          <w:rFonts w:cstheme="minorHAnsi"/>
          <w:sz w:val="22"/>
          <w:szCs w:val="22"/>
        </w:rPr>
        <w:t xml:space="preserve">у </w:t>
      </w:r>
      <w:r w:rsidR="001A4B0E">
        <w:rPr>
          <w:rFonts w:cstheme="minorHAnsi"/>
          <w:sz w:val="22"/>
          <w:szCs w:val="22"/>
        </w:rPr>
        <w:t>Бакуу</w:t>
      </w:r>
      <w:r w:rsidR="001A4B0E">
        <w:rPr>
          <w:rFonts w:cstheme="minorHAnsi"/>
          <w:sz w:val="22"/>
          <w:szCs w:val="22"/>
          <w:lang w:val="sr-Cyrl-RS"/>
        </w:rPr>
        <w:t xml:space="preserve"> је</w:t>
      </w:r>
      <w:r w:rsidRPr="008464DC">
        <w:rPr>
          <w:rFonts w:cstheme="minorHAnsi"/>
          <w:sz w:val="22"/>
          <w:szCs w:val="22"/>
        </w:rPr>
        <w:t xml:space="preserve"> </w:t>
      </w:r>
      <w:r>
        <w:rPr>
          <w:rFonts w:cstheme="minorHAnsi"/>
          <w:sz w:val="22"/>
          <w:szCs w:val="22"/>
        </w:rPr>
        <w:t>одржа</w:t>
      </w:r>
      <w:r>
        <w:rPr>
          <w:rFonts w:cstheme="minorHAnsi"/>
          <w:sz w:val="22"/>
          <w:szCs w:val="22"/>
          <w:lang w:val="sr-Cyrl-RS"/>
        </w:rPr>
        <w:t>на</w:t>
      </w:r>
      <w:r w:rsidR="001A4B0E">
        <w:rPr>
          <w:rFonts w:cstheme="minorHAnsi"/>
          <w:sz w:val="22"/>
          <w:szCs w:val="22"/>
        </w:rPr>
        <w:t xml:space="preserve"> </w:t>
      </w:r>
      <w:r w:rsidRPr="008464DC">
        <w:rPr>
          <w:rFonts w:cstheme="minorHAnsi"/>
          <w:sz w:val="22"/>
          <w:szCs w:val="22"/>
        </w:rPr>
        <w:t>редовн</w:t>
      </w:r>
      <w:r>
        <w:rPr>
          <w:rFonts w:cstheme="minorHAnsi"/>
          <w:sz w:val="22"/>
          <w:szCs w:val="22"/>
          <w:lang w:val="sr-Cyrl-RS"/>
        </w:rPr>
        <w:t>а</w:t>
      </w:r>
      <w:r w:rsidRPr="008464DC">
        <w:rPr>
          <w:rFonts w:cstheme="minorHAnsi"/>
          <w:sz w:val="22"/>
          <w:szCs w:val="22"/>
        </w:rPr>
        <w:t xml:space="preserve"> годишњ</w:t>
      </w:r>
      <w:r>
        <w:rPr>
          <w:rFonts w:cstheme="minorHAnsi"/>
          <w:sz w:val="22"/>
          <w:szCs w:val="22"/>
          <w:lang w:val="sr-Cyrl-RS"/>
        </w:rPr>
        <w:t>а</w:t>
      </w:r>
      <w:r w:rsidRPr="008464DC">
        <w:rPr>
          <w:rFonts w:cstheme="minorHAnsi"/>
          <w:sz w:val="22"/>
          <w:szCs w:val="22"/>
        </w:rPr>
        <w:t xml:space="preserve"> Генералн</w:t>
      </w:r>
      <w:r>
        <w:rPr>
          <w:rFonts w:cstheme="minorHAnsi"/>
          <w:sz w:val="22"/>
          <w:szCs w:val="22"/>
          <w:lang w:val="sr-Cyrl-RS"/>
        </w:rPr>
        <w:t>а</w:t>
      </w:r>
      <w:r w:rsidRPr="008464DC">
        <w:rPr>
          <w:rFonts w:cstheme="minorHAnsi"/>
          <w:sz w:val="22"/>
          <w:szCs w:val="22"/>
        </w:rPr>
        <w:t xml:space="preserve"> скупштин</w:t>
      </w:r>
      <w:r>
        <w:rPr>
          <w:rFonts w:cstheme="minorHAnsi"/>
          <w:sz w:val="22"/>
          <w:szCs w:val="22"/>
          <w:lang w:val="sr-Cyrl-RS"/>
        </w:rPr>
        <w:t>а</w:t>
      </w:r>
      <w:r w:rsidRPr="008464DC">
        <w:rPr>
          <w:rFonts w:cstheme="minorHAnsi"/>
          <w:sz w:val="22"/>
          <w:szCs w:val="22"/>
        </w:rPr>
        <w:t xml:space="preserve"> CEENQA</w:t>
      </w:r>
      <w:r>
        <w:rPr>
          <w:rFonts w:cstheme="minorHAnsi"/>
          <w:sz w:val="22"/>
          <w:szCs w:val="22"/>
          <w:lang w:val="sr-Cyrl-RS"/>
        </w:rPr>
        <w:t xml:space="preserve"> </w:t>
      </w:r>
      <w:r w:rsidRPr="008464DC">
        <w:rPr>
          <w:rFonts w:cstheme="minorHAnsi"/>
          <w:sz w:val="22"/>
          <w:szCs w:val="22"/>
        </w:rPr>
        <w:t>и радиониц</w:t>
      </w:r>
      <w:r>
        <w:rPr>
          <w:rFonts w:cstheme="minorHAnsi"/>
          <w:sz w:val="22"/>
          <w:szCs w:val="22"/>
          <w:lang w:val="sr-Cyrl-RS"/>
        </w:rPr>
        <w:t>а</w:t>
      </w:r>
      <w:r w:rsidRPr="008464DC">
        <w:rPr>
          <w:rFonts w:cstheme="minorHAnsi"/>
          <w:sz w:val="22"/>
          <w:szCs w:val="22"/>
        </w:rPr>
        <w:t xml:space="preserve"> о прекограничној сарадњи у области осигурања квалитета у високом образовању</w:t>
      </w:r>
      <w:r w:rsidR="004D3D46">
        <w:rPr>
          <w:rFonts w:cstheme="minorHAnsi"/>
          <w:sz w:val="22"/>
          <w:szCs w:val="22"/>
        </w:rPr>
        <w:t>,</w:t>
      </w:r>
      <w:r w:rsidR="001A4B0E">
        <w:rPr>
          <w:rFonts w:cstheme="minorHAnsi"/>
          <w:sz w:val="22"/>
          <w:szCs w:val="22"/>
          <w:lang w:val="sr-Cyrl-RS"/>
        </w:rPr>
        <w:t xml:space="preserve"> којој су присуствовали</w:t>
      </w:r>
      <w:r w:rsidRPr="008464DC">
        <w:rPr>
          <w:rFonts w:cstheme="minorHAnsi"/>
          <w:sz w:val="22"/>
          <w:szCs w:val="22"/>
        </w:rPr>
        <w:t xml:space="preserve"> и представници Агенције</w:t>
      </w:r>
      <w:r>
        <w:rPr>
          <w:rFonts w:cstheme="minorHAnsi"/>
          <w:sz w:val="22"/>
          <w:szCs w:val="22"/>
          <w:lang w:val="sr-Cyrl-RS"/>
        </w:rPr>
        <w:t>.</w:t>
      </w:r>
      <w:r w:rsidRPr="008464DC">
        <w:rPr>
          <w:rFonts w:cstheme="minorHAnsi"/>
          <w:sz w:val="22"/>
          <w:szCs w:val="22"/>
        </w:rPr>
        <w:t xml:space="preserve"> </w:t>
      </w:r>
    </w:p>
    <w:p w:rsidR="004D3D46" w:rsidRDefault="0001047B" w:rsidP="004D3D46">
      <w:pPr>
        <w:spacing w:line="276" w:lineRule="auto"/>
        <w:contextualSpacing/>
        <w:jc w:val="both"/>
        <w:rPr>
          <w:rFonts w:cstheme="minorHAnsi"/>
          <w:sz w:val="22"/>
          <w:szCs w:val="22"/>
        </w:rPr>
      </w:pPr>
      <w:r w:rsidRPr="008464DC">
        <w:rPr>
          <w:rFonts w:cstheme="minorHAnsi"/>
          <w:sz w:val="22"/>
          <w:szCs w:val="22"/>
        </w:rPr>
        <w:t>Агенција је пуноправни члан Међународне мреже агенција за обезбјеђење к</w:t>
      </w:r>
      <w:r w:rsidR="004D3D46">
        <w:rPr>
          <w:rFonts w:cstheme="minorHAnsi"/>
          <w:sz w:val="22"/>
          <w:szCs w:val="22"/>
        </w:rPr>
        <w:t>валитета у високом образовању (</w:t>
      </w:r>
      <w:r w:rsidRPr="008464DC">
        <w:rPr>
          <w:rFonts w:cstheme="minorHAnsi"/>
          <w:sz w:val="22"/>
          <w:szCs w:val="22"/>
        </w:rPr>
        <w:t>INQAAHE</w:t>
      </w:r>
      <w:r w:rsidR="004D3D46">
        <w:rPr>
          <w:rFonts w:cstheme="minorHAnsi"/>
          <w:sz w:val="22"/>
          <w:szCs w:val="22"/>
        </w:rPr>
        <w:t>)</w:t>
      </w:r>
      <w:r w:rsidRPr="00861A9B">
        <w:rPr>
          <w:rFonts w:cstheme="minorHAnsi"/>
          <w:vertAlign w:val="superscript"/>
        </w:rPr>
        <w:footnoteReference w:id="18"/>
      </w:r>
      <w:r w:rsidRPr="008464DC">
        <w:rPr>
          <w:rFonts w:cstheme="minorHAnsi"/>
          <w:sz w:val="22"/>
          <w:szCs w:val="22"/>
        </w:rPr>
        <w:t>. У септембру 2024. године одржан jе састанак регионалне фокус групе за потребе израде г</w:t>
      </w:r>
      <w:r w:rsidR="001A4B0E">
        <w:rPr>
          <w:rFonts w:cstheme="minorHAnsi"/>
          <w:sz w:val="22"/>
          <w:szCs w:val="22"/>
        </w:rPr>
        <w:t>лобалне INQAAHE студије на тему</w:t>
      </w:r>
      <w:r w:rsidR="004D3D46">
        <w:rPr>
          <w:rFonts w:cstheme="minorHAnsi"/>
          <w:sz w:val="22"/>
          <w:szCs w:val="22"/>
          <w:lang w:val="sr-Cyrl-RS"/>
        </w:rPr>
        <w:t xml:space="preserve"> </w:t>
      </w:r>
      <w:r w:rsidRPr="004D3D46">
        <w:rPr>
          <w:rFonts w:cstheme="minorHAnsi"/>
          <w:i/>
          <w:sz w:val="22"/>
          <w:szCs w:val="22"/>
        </w:rPr>
        <w:t>Глобални трендови у осигурању квалитета у терцијарном образовању</w:t>
      </w:r>
      <w:r w:rsidRPr="008464DC">
        <w:rPr>
          <w:rFonts w:cstheme="minorHAnsi"/>
          <w:sz w:val="22"/>
          <w:szCs w:val="22"/>
        </w:rPr>
        <w:t xml:space="preserve">. Представници Агенције су учествовали у раду фокус групе која је обухватила представнике агенција за осигурање квалитета </w:t>
      </w:r>
      <w:r w:rsidR="001A4B0E">
        <w:rPr>
          <w:rFonts w:cstheme="minorHAnsi"/>
          <w:sz w:val="22"/>
          <w:szCs w:val="22"/>
          <w:lang w:val="sr-Cyrl-RS"/>
        </w:rPr>
        <w:t xml:space="preserve">у </w:t>
      </w:r>
      <w:r w:rsidRPr="008464DC">
        <w:rPr>
          <w:rFonts w:cstheme="minorHAnsi"/>
          <w:sz w:val="22"/>
          <w:szCs w:val="22"/>
        </w:rPr>
        <w:t>висок</w:t>
      </w:r>
      <w:r w:rsidR="001A4B0E">
        <w:rPr>
          <w:rFonts w:cstheme="minorHAnsi"/>
          <w:sz w:val="22"/>
          <w:szCs w:val="22"/>
          <w:lang w:val="sr-Cyrl-RS"/>
        </w:rPr>
        <w:t>ом</w:t>
      </w:r>
      <w:r w:rsidRPr="008464DC">
        <w:rPr>
          <w:rFonts w:cstheme="minorHAnsi"/>
          <w:sz w:val="22"/>
          <w:szCs w:val="22"/>
        </w:rPr>
        <w:t xml:space="preserve"> образовањ</w:t>
      </w:r>
      <w:r w:rsidR="001A4B0E">
        <w:rPr>
          <w:rFonts w:cstheme="minorHAnsi"/>
          <w:sz w:val="22"/>
          <w:szCs w:val="22"/>
          <w:lang w:val="sr-Cyrl-RS"/>
        </w:rPr>
        <w:t xml:space="preserve">у </w:t>
      </w:r>
      <w:r w:rsidR="004D3D46">
        <w:rPr>
          <w:rFonts w:cstheme="minorHAnsi"/>
          <w:sz w:val="22"/>
          <w:szCs w:val="22"/>
        </w:rPr>
        <w:t xml:space="preserve">из региона. </w:t>
      </w:r>
    </w:p>
    <w:p w:rsidR="004D3D46" w:rsidRPr="004D3D46" w:rsidRDefault="004D3D46" w:rsidP="004D3D46">
      <w:pPr>
        <w:spacing w:line="276" w:lineRule="auto"/>
        <w:contextualSpacing/>
        <w:jc w:val="both"/>
        <w:rPr>
          <w:rFonts w:cstheme="minorHAnsi"/>
          <w:sz w:val="16"/>
          <w:szCs w:val="16"/>
          <w:lang w:val="sr-Cyrl-RS"/>
        </w:rPr>
      </w:pPr>
    </w:p>
    <w:p w:rsidR="0001047B" w:rsidRPr="008464DC" w:rsidRDefault="0001047B" w:rsidP="004D3D46">
      <w:pPr>
        <w:spacing w:line="276" w:lineRule="auto"/>
        <w:contextualSpacing/>
        <w:jc w:val="both"/>
        <w:rPr>
          <w:rFonts w:cstheme="minorHAnsi"/>
          <w:sz w:val="22"/>
          <w:szCs w:val="22"/>
        </w:rPr>
      </w:pPr>
      <w:r>
        <w:rPr>
          <w:rFonts w:cstheme="minorHAnsi"/>
          <w:sz w:val="22"/>
          <w:szCs w:val="22"/>
          <w:lang w:val="sr-Cyrl-RS"/>
        </w:rPr>
        <w:t>У</w:t>
      </w:r>
      <w:r w:rsidRPr="008464DC">
        <w:rPr>
          <w:rFonts w:cstheme="minorHAnsi"/>
          <w:sz w:val="22"/>
          <w:szCs w:val="22"/>
        </w:rPr>
        <w:t xml:space="preserve"> јулу 2024. године </w:t>
      </w:r>
      <w:r w:rsidR="001A4B0E">
        <w:rPr>
          <w:rFonts w:cstheme="minorHAnsi"/>
          <w:sz w:val="22"/>
          <w:szCs w:val="22"/>
          <w:lang w:val="sr-Cyrl-RS"/>
        </w:rPr>
        <w:t xml:space="preserve">у Будимпешти је закључен </w:t>
      </w:r>
      <w:r w:rsidRPr="008464DC">
        <w:rPr>
          <w:rFonts w:cstheme="minorHAnsi"/>
          <w:sz w:val="22"/>
          <w:szCs w:val="22"/>
        </w:rPr>
        <w:t>Стратешк</w:t>
      </w:r>
      <w:r>
        <w:rPr>
          <w:rFonts w:cstheme="minorHAnsi"/>
          <w:sz w:val="22"/>
          <w:szCs w:val="22"/>
          <w:lang w:val="sr-Cyrl-RS"/>
        </w:rPr>
        <w:t>и</w:t>
      </w:r>
      <w:r w:rsidRPr="008464DC">
        <w:rPr>
          <w:rFonts w:cstheme="minorHAnsi"/>
          <w:sz w:val="22"/>
          <w:szCs w:val="22"/>
        </w:rPr>
        <w:t xml:space="preserve"> споразум </w:t>
      </w:r>
      <w:r w:rsidR="001A4B0E">
        <w:rPr>
          <w:rFonts w:cstheme="minorHAnsi"/>
          <w:sz w:val="22"/>
          <w:szCs w:val="22"/>
          <w:lang w:val="sr-Cyrl-RS"/>
        </w:rPr>
        <w:t xml:space="preserve">о сарадњи </w:t>
      </w:r>
      <w:r w:rsidRPr="008464DC">
        <w:rPr>
          <w:rFonts w:cstheme="minorHAnsi"/>
          <w:sz w:val="22"/>
          <w:szCs w:val="22"/>
        </w:rPr>
        <w:t>између Агенције и Комитет</w:t>
      </w:r>
      <w:r>
        <w:rPr>
          <w:rFonts w:cstheme="minorHAnsi"/>
          <w:sz w:val="22"/>
          <w:szCs w:val="22"/>
          <w:lang w:val="sr-Cyrl-RS"/>
        </w:rPr>
        <w:t>а</w:t>
      </w:r>
      <w:r w:rsidRPr="008464DC">
        <w:rPr>
          <w:rFonts w:cstheme="minorHAnsi"/>
          <w:sz w:val="22"/>
          <w:szCs w:val="22"/>
        </w:rPr>
        <w:t xml:space="preserve"> за акредитацију Мађарске (</w:t>
      </w:r>
      <w:r w:rsidR="001A4B0E">
        <w:rPr>
          <w:rFonts w:cstheme="minorHAnsi"/>
          <w:sz w:val="22"/>
          <w:szCs w:val="22"/>
        </w:rPr>
        <w:t>MAB</w:t>
      </w:r>
      <w:r w:rsidRPr="008464DC">
        <w:rPr>
          <w:rFonts w:cstheme="minorHAnsi"/>
          <w:sz w:val="22"/>
          <w:szCs w:val="22"/>
        </w:rPr>
        <w:t>)</w:t>
      </w:r>
      <w:r w:rsidR="001A4B0E">
        <w:rPr>
          <w:rStyle w:val="FootnoteReference"/>
          <w:rFonts w:cstheme="minorHAnsi"/>
          <w:sz w:val="22"/>
          <w:szCs w:val="22"/>
        </w:rPr>
        <w:footnoteReference w:id="19"/>
      </w:r>
      <w:r>
        <w:rPr>
          <w:rFonts w:cstheme="minorHAnsi"/>
          <w:sz w:val="22"/>
          <w:szCs w:val="22"/>
          <w:lang w:val="sr-Cyrl-RS"/>
        </w:rPr>
        <w:t>.</w:t>
      </w:r>
      <w:r w:rsidRPr="008464DC">
        <w:rPr>
          <w:rFonts w:cstheme="minorHAnsi"/>
          <w:sz w:val="22"/>
          <w:szCs w:val="22"/>
        </w:rPr>
        <w:t xml:space="preserve"> </w:t>
      </w:r>
      <w:r>
        <w:rPr>
          <w:rFonts w:cstheme="minorHAnsi"/>
          <w:sz w:val="22"/>
          <w:szCs w:val="22"/>
          <w:lang w:val="sr-Cyrl-RS"/>
        </w:rPr>
        <w:t xml:space="preserve">Споразум је резултат претходних договора између Агенције и </w:t>
      </w:r>
      <w:r>
        <w:rPr>
          <w:rFonts w:cstheme="minorHAnsi"/>
          <w:sz w:val="22"/>
          <w:szCs w:val="22"/>
          <w:lang w:val="sr-Latn-RS"/>
        </w:rPr>
        <w:t>MAB-</w:t>
      </w:r>
      <w:r>
        <w:rPr>
          <w:rFonts w:cstheme="minorHAnsi"/>
          <w:sz w:val="22"/>
          <w:szCs w:val="22"/>
          <w:lang w:val="sr-Cyrl-RS"/>
        </w:rPr>
        <w:t xml:space="preserve">а у вези са акредитацијом  студијских програма медицине на  </w:t>
      </w:r>
      <w:r w:rsidRPr="008464DC">
        <w:rPr>
          <w:rFonts w:cstheme="minorHAnsi"/>
          <w:sz w:val="22"/>
          <w:szCs w:val="22"/>
        </w:rPr>
        <w:t>Медицинск</w:t>
      </w:r>
      <w:r>
        <w:rPr>
          <w:rFonts w:cstheme="minorHAnsi"/>
          <w:sz w:val="22"/>
          <w:szCs w:val="22"/>
          <w:lang w:val="sr-Cyrl-RS"/>
        </w:rPr>
        <w:t>ом</w:t>
      </w:r>
      <w:r w:rsidRPr="008464DC">
        <w:rPr>
          <w:rFonts w:cstheme="minorHAnsi"/>
          <w:sz w:val="22"/>
          <w:szCs w:val="22"/>
        </w:rPr>
        <w:t xml:space="preserve"> факултет</w:t>
      </w:r>
      <w:r>
        <w:rPr>
          <w:rFonts w:cstheme="minorHAnsi"/>
          <w:sz w:val="22"/>
          <w:szCs w:val="22"/>
          <w:lang w:val="sr-Cyrl-RS"/>
        </w:rPr>
        <w:t>у</w:t>
      </w:r>
      <w:r w:rsidRPr="008464DC">
        <w:rPr>
          <w:rFonts w:cstheme="minorHAnsi"/>
          <w:sz w:val="22"/>
          <w:szCs w:val="22"/>
        </w:rPr>
        <w:t xml:space="preserve"> Универзитета у Бањој Луци и Медицинск</w:t>
      </w:r>
      <w:r>
        <w:rPr>
          <w:rFonts w:cstheme="minorHAnsi"/>
          <w:sz w:val="22"/>
          <w:szCs w:val="22"/>
          <w:lang w:val="sr-Cyrl-RS"/>
        </w:rPr>
        <w:t>ом</w:t>
      </w:r>
      <w:r w:rsidRPr="008464DC">
        <w:rPr>
          <w:rFonts w:cstheme="minorHAnsi"/>
          <w:sz w:val="22"/>
          <w:szCs w:val="22"/>
        </w:rPr>
        <w:t xml:space="preserve"> факултет</w:t>
      </w:r>
      <w:r>
        <w:rPr>
          <w:rFonts w:cstheme="minorHAnsi"/>
          <w:sz w:val="22"/>
          <w:szCs w:val="22"/>
          <w:lang w:val="sr-Cyrl-RS"/>
        </w:rPr>
        <w:t>у</w:t>
      </w:r>
      <w:r w:rsidRPr="008464DC">
        <w:rPr>
          <w:rFonts w:cstheme="minorHAnsi"/>
          <w:sz w:val="22"/>
          <w:szCs w:val="22"/>
        </w:rPr>
        <w:t xml:space="preserve"> Универзитета у Источном Сарајеву у односу на стандарде Свјетске федерације за медицинско образовање – WFME</w:t>
      </w:r>
      <w:r w:rsidR="001A4B0E">
        <w:rPr>
          <w:rFonts w:cstheme="minorHAnsi"/>
          <w:sz w:val="22"/>
          <w:szCs w:val="22"/>
        </w:rPr>
        <w:t xml:space="preserve">. </w:t>
      </w:r>
      <w:r w:rsidRPr="008464DC">
        <w:rPr>
          <w:rFonts w:cstheme="minorHAnsi"/>
          <w:sz w:val="22"/>
          <w:szCs w:val="22"/>
        </w:rPr>
        <w:t xml:space="preserve"> С обзиром на то да акредитацију студијских програма медицине у односу на </w:t>
      </w:r>
      <w:proofErr w:type="gramStart"/>
      <w:r w:rsidRPr="008464DC">
        <w:rPr>
          <w:rFonts w:cstheme="minorHAnsi"/>
          <w:sz w:val="22"/>
          <w:szCs w:val="22"/>
        </w:rPr>
        <w:t>стандарде  WFME</w:t>
      </w:r>
      <w:proofErr w:type="gramEnd"/>
      <w:r>
        <w:rPr>
          <w:rFonts w:cstheme="minorHAnsi"/>
          <w:sz w:val="22"/>
          <w:szCs w:val="22"/>
          <w:lang w:val="sr-Cyrl-RS"/>
        </w:rPr>
        <w:t xml:space="preserve"> </w:t>
      </w:r>
      <w:r w:rsidRPr="008464DC">
        <w:rPr>
          <w:rFonts w:cstheme="minorHAnsi"/>
          <w:sz w:val="22"/>
          <w:szCs w:val="22"/>
        </w:rPr>
        <w:t xml:space="preserve">не могу да проводе све агенције, већ само агенције које за то овласти WFME, Агенција се обратила </w:t>
      </w:r>
      <w:r>
        <w:rPr>
          <w:rFonts w:cstheme="minorHAnsi"/>
          <w:sz w:val="22"/>
          <w:szCs w:val="22"/>
        </w:rPr>
        <w:t>MAB</w:t>
      </w:r>
      <w:r>
        <w:rPr>
          <w:rFonts w:cstheme="minorHAnsi"/>
          <w:sz w:val="22"/>
          <w:szCs w:val="22"/>
          <w:lang w:val="sr-Cyrl-RS"/>
        </w:rPr>
        <w:t>-у</w:t>
      </w:r>
      <w:r w:rsidRPr="008464DC">
        <w:rPr>
          <w:rFonts w:cstheme="minorHAnsi"/>
          <w:sz w:val="22"/>
          <w:szCs w:val="22"/>
        </w:rPr>
        <w:t xml:space="preserve"> и иницирала сарадњу у поступку вањског вредновања </w:t>
      </w:r>
      <w:r>
        <w:rPr>
          <w:rFonts w:cstheme="minorHAnsi"/>
          <w:sz w:val="22"/>
          <w:szCs w:val="22"/>
          <w:lang w:val="sr-Cyrl-RS"/>
        </w:rPr>
        <w:t xml:space="preserve">наведених </w:t>
      </w:r>
      <w:r w:rsidRPr="008464DC">
        <w:rPr>
          <w:rFonts w:cstheme="minorHAnsi"/>
          <w:sz w:val="22"/>
          <w:szCs w:val="22"/>
        </w:rPr>
        <w:t>студијских програма</w:t>
      </w:r>
      <w:r>
        <w:rPr>
          <w:rFonts w:cstheme="minorHAnsi"/>
          <w:sz w:val="22"/>
          <w:szCs w:val="22"/>
          <w:lang w:val="sr-Cyrl-RS"/>
        </w:rPr>
        <w:t xml:space="preserve">. </w:t>
      </w:r>
      <w:r w:rsidRPr="008464DC">
        <w:rPr>
          <w:rFonts w:cstheme="minorHAnsi"/>
          <w:sz w:val="22"/>
          <w:szCs w:val="22"/>
        </w:rPr>
        <w:t xml:space="preserve"> У склопу исуњавања предуслова за акредитацију, од стране WFME је спроведен поступак вањског вредновања MAB-а, те је Агенцији </w:t>
      </w:r>
      <w:r>
        <w:rPr>
          <w:rFonts w:cstheme="minorHAnsi"/>
          <w:sz w:val="22"/>
          <w:szCs w:val="22"/>
          <w:lang w:val="sr-Cyrl-RS"/>
        </w:rPr>
        <w:t xml:space="preserve">у јулу 2024. године </w:t>
      </w:r>
      <w:r w:rsidRPr="008464DC">
        <w:rPr>
          <w:rFonts w:cstheme="minorHAnsi"/>
          <w:sz w:val="22"/>
          <w:szCs w:val="22"/>
        </w:rPr>
        <w:t>достављен сертификат којим се потврђује да је МАB задовољио критеријуме за спровођење акредитације студијских програма у Мађарској и Републици Српској до 31.3.2032. године, као и да подлијеже годишњој провјери од стране WFME с циљем обезбјеђења континуиране усаглашености рада у складу са WFME стандардом.</w:t>
      </w:r>
    </w:p>
    <w:p w:rsidR="0001047B" w:rsidRPr="004D3D46" w:rsidRDefault="0001047B" w:rsidP="0001047B">
      <w:pPr>
        <w:spacing w:line="276" w:lineRule="auto"/>
        <w:contextualSpacing/>
        <w:jc w:val="both"/>
        <w:rPr>
          <w:rFonts w:cstheme="minorHAnsi"/>
          <w:sz w:val="16"/>
          <w:szCs w:val="16"/>
        </w:rPr>
      </w:pPr>
      <w:r>
        <w:rPr>
          <w:rFonts w:cstheme="minorHAnsi"/>
          <w:sz w:val="22"/>
          <w:szCs w:val="22"/>
        </w:rPr>
        <w:t xml:space="preserve"> </w:t>
      </w:r>
    </w:p>
    <w:p w:rsidR="0001047B" w:rsidRPr="008464DC" w:rsidRDefault="0001047B" w:rsidP="0001047B">
      <w:pPr>
        <w:spacing w:line="276" w:lineRule="auto"/>
        <w:contextualSpacing/>
        <w:jc w:val="both"/>
        <w:rPr>
          <w:rFonts w:cstheme="minorHAnsi"/>
          <w:sz w:val="22"/>
          <w:szCs w:val="22"/>
        </w:rPr>
      </w:pPr>
      <w:r w:rsidRPr="008464DC">
        <w:rPr>
          <w:rFonts w:cstheme="minorHAnsi"/>
          <w:sz w:val="22"/>
          <w:szCs w:val="22"/>
        </w:rPr>
        <w:t xml:space="preserve">У јануару 2024. године </w:t>
      </w:r>
      <w:r w:rsidR="001A4B0E">
        <w:rPr>
          <w:rFonts w:cstheme="minorHAnsi"/>
          <w:sz w:val="22"/>
          <w:szCs w:val="22"/>
        </w:rPr>
        <w:t xml:space="preserve"> </w:t>
      </w:r>
      <w:r w:rsidRPr="008464DC">
        <w:rPr>
          <w:rFonts w:cstheme="minorHAnsi"/>
          <w:sz w:val="22"/>
          <w:szCs w:val="22"/>
        </w:rPr>
        <w:t xml:space="preserve">Агенција </w:t>
      </w:r>
      <w:r>
        <w:rPr>
          <w:rFonts w:cstheme="minorHAnsi"/>
          <w:sz w:val="22"/>
          <w:szCs w:val="22"/>
          <w:lang w:val="sr-Cyrl-RS"/>
        </w:rPr>
        <w:t>је</w:t>
      </w:r>
      <w:r>
        <w:rPr>
          <w:rFonts w:cstheme="minorHAnsi"/>
          <w:sz w:val="22"/>
          <w:szCs w:val="22"/>
        </w:rPr>
        <w:t xml:space="preserve"> примљена </w:t>
      </w:r>
      <w:r w:rsidRPr="008464DC">
        <w:rPr>
          <w:rFonts w:cstheme="minorHAnsi"/>
          <w:sz w:val="22"/>
          <w:szCs w:val="22"/>
        </w:rPr>
        <w:t>у пуноправно чланство Глобалне мреже академске честитости - GAIN</w:t>
      </w:r>
      <w:r w:rsidRPr="00861A9B">
        <w:rPr>
          <w:rFonts w:cstheme="minorHAnsi"/>
          <w:vertAlign w:val="superscript"/>
        </w:rPr>
        <w:footnoteReference w:id="20"/>
      </w:r>
      <w:r w:rsidRPr="008464DC">
        <w:rPr>
          <w:rFonts w:cstheme="minorHAnsi"/>
          <w:sz w:val="22"/>
          <w:szCs w:val="22"/>
        </w:rPr>
        <w:t>. GAIN је званично покренута у октобру 2022. године у Даблину, а суоснивачи су Ирска агенција за квалитет и квалификације (QQI) и Агенција за квалитет и стандарде у високом образовању Аустралије</w:t>
      </w:r>
      <w:r>
        <w:rPr>
          <w:rStyle w:val="FootnoteReference"/>
          <w:rFonts w:cstheme="minorHAnsi"/>
          <w:sz w:val="22"/>
          <w:szCs w:val="22"/>
        </w:rPr>
        <w:footnoteReference w:id="21"/>
      </w:r>
      <w:r>
        <w:rPr>
          <w:rFonts w:cstheme="minorHAnsi"/>
          <w:sz w:val="22"/>
          <w:szCs w:val="22"/>
          <w:lang w:val="sr-Cyrl-RS"/>
        </w:rPr>
        <w:t xml:space="preserve">. </w:t>
      </w:r>
      <w:r>
        <w:rPr>
          <w:rFonts w:cstheme="minorHAnsi"/>
          <w:sz w:val="22"/>
          <w:szCs w:val="22"/>
        </w:rPr>
        <w:t xml:space="preserve"> </w:t>
      </w:r>
      <w:r w:rsidRPr="008464DC">
        <w:rPr>
          <w:rFonts w:cstheme="minorHAnsi"/>
          <w:sz w:val="22"/>
          <w:szCs w:val="22"/>
        </w:rPr>
        <w:t xml:space="preserve">Мрежа се бави питањима заштите и промовисања академске честитости, те размјењује праксе између чланица о процедурама за санкционисање и спречавање недоличног понашања у академској заједници. </w:t>
      </w:r>
      <w:r>
        <w:rPr>
          <w:rFonts w:cstheme="minorHAnsi"/>
          <w:sz w:val="22"/>
          <w:szCs w:val="22"/>
          <w:lang w:val="sr-Cyrl-RS"/>
        </w:rPr>
        <w:t>У мају</w:t>
      </w:r>
      <w:r w:rsidRPr="008464DC">
        <w:rPr>
          <w:rFonts w:cstheme="minorHAnsi"/>
          <w:sz w:val="22"/>
          <w:szCs w:val="22"/>
        </w:rPr>
        <w:t xml:space="preserve"> 2024. године одржан је састанак мреже на којем су члановима представљени ажурирани пројектни задаци мреже и ажурирани критеријуми за чланство и гласање о колективној изјави. </w:t>
      </w:r>
      <w:r>
        <w:rPr>
          <w:rFonts w:cstheme="minorHAnsi"/>
          <w:sz w:val="22"/>
          <w:szCs w:val="22"/>
          <w:lang w:val="sr-Cyrl-RS"/>
        </w:rPr>
        <w:t>У октобру</w:t>
      </w:r>
      <w:r w:rsidRPr="008464DC">
        <w:rPr>
          <w:rFonts w:cstheme="minorHAnsi"/>
          <w:sz w:val="22"/>
          <w:szCs w:val="22"/>
        </w:rPr>
        <w:t xml:space="preserve"> 2024. године одржан је састанак мреже на којем је разговарано о развоју и примјени законских рјешења која се односе на питања академске честитости у земљама чланицама. Представници Агенције су учествовали у раду </w:t>
      </w:r>
      <w:r>
        <w:rPr>
          <w:rFonts w:cstheme="minorHAnsi"/>
          <w:sz w:val="22"/>
          <w:szCs w:val="22"/>
          <w:lang w:val="sr-Cyrl-RS"/>
        </w:rPr>
        <w:t xml:space="preserve">на </w:t>
      </w:r>
      <w:r w:rsidRPr="008464DC">
        <w:rPr>
          <w:rFonts w:cstheme="minorHAnsi"/>
          <w:sz w:val="22"/>
          <w:szCs w:val="22"/>
        </w:rPr>
        <w:t>оба састанка.</w:t>
      </w:r>
    </w:p>
    <w:p w:rsidR="0001047B" w:rsidRPr="004D3D46" w:rsidRDefault="0001047B" w:rsidP="0001047B">
      <w:pPr>
        <w:spacing w:line="276" w:lineRule="auto"/>
        <w:contextualSpacing/>
        <w:jc w:val="both"/>
        <w:rPr>
          <w:rFonts w:cs="Helvetica"/>
          <w:color w:val="444444"/>
          <w:sz w:val="16"/>
          <w:szCs w:val="16"/>
          <w:shd w:val="clear" w:color="auto" w:fill="FFFFFF"/>
        </w:rPr>
      </w:pPr>
    </w:p>
    <w:p w:rsidR="0001047B" w:rsidRPr="008464DC" w:rsidRDefault="0001047B" w:rsidP="0001047B">
      <w:pPr>
        <w:spacing w:after="200" w:line="276" w:lineRule="auto"/>
        <w:contextualSpacing/>
        <w:jc w:val="both"/>
        <w:rPr>
          <w:rFonts w:cstheme="minorHAnsi"/>
          <w:sz w:val="22"/>
          <w:szCs w:val="22"/>
        </w:rPr>
      </w:pPr>
      <w:r>
        <w:rPr>
          <w:rFonts w:cstheme="minorHAnsi"/>
          <w:sz w:val="22"/>
          <w:szCs w:val="22"/>
          <w:lang w:val="sr-Cyrl-RS"/>
        </w:rPr>
        <w:t xml:space="preserve">У априлу </w:t>
      </w:r>
      <w:r w:rsidRPr="008464DC">
        <w:rPr>
          <w:rFonts w:cstheme="minorHAnsi"/>
          <w:sz w:val="22"/>
          <w:szCs w:val="22"/>
        </w:rPr>
        <w:t xml:space="preserve"> 2024. године представници Агенције су учесвовали у ра</w:t>
      </w:r>
      <w:r w:rsidR="004D3D46">
        <w:rPr>
          <w:rFonts w:cstheme="minorHAnsi"/>
          <w:sz w:val="22"/>
          <w:szCs w:val="22"/>
        </w:rPr>
        <w:t xml:space="preserve">ду вебинара </w:t>
      </w:r>
      <w:r w:rsidRPr="004D3D46">
        <w:rPr>
          <w:rFonts w:cstheme="minorHAnsi"/>
          <w:i/>
          <w:sz w:val="22"/>
          <w:szCs w:val="22"/>
        </w:rPr>
        <w:t>Aгенције за осигурање квалитета и ENIC/NARIC центри: модели сарадње и могућности</w:t>
      </w:r>
      <w:r w:rsidRPr="008464DC">
        <w:rPr>
          <w:rFonts w:cstheme="minorHAnsi"/>
          <w:sz w:val="22"/>
          <w:szCs w:val="22"/>
        </w:rPr>
        <w:t xml:space="preserve"> који су суорганизовали ЕNQ</w:t>
      </w:r>
      <w:r>
        <w:rPr>
          <w:rFonts w:cstheme="minorHAnsi"/>
          <w:sz w:val="22"/>
          <w:szCs w:val="22"/>
        </w:rPr>
        <w:t xml:space="preserve">A </w:t>
      </w:r>
      <w:r w:rsidRPr="008464DC">
        <w:rPr>
          <w:rFonts w:cstheme="minorHAnsi"/>
          <w:sz w:val="22"/>
          <w:szCs w:val="22"/>
        </w:rPr>
        <w:t xml:space="preserve">и ENIC-NARIC мрежа (Европска мрежа информационих центара у европском региону / Национални информациони центри за академско признавање у Европској унији). У раду вебинара су учествовали представници агенција за осигурање квалитета и ENIC/NARIC центара Европе. </w:t>
      </w:r>
    </w:p>
    <w:p w:rsidR="0001047B" w:rsidRPr="004D3D46" w:rsidRDefault="0001047B" w:rsidP="0001047B">
      <w:pPr>
        <w:spacing w:line="276" w:lineRule="auto"/>
        <w:contextualSpacing/>
        <w:jc w:val="both"/>
        <w:rPr>
          <w:rFonts w:eastAsia="Calibri" w:cstheme="minorHAnsi"/>
          <w:b/>
          <w:color w:val="323E4F" w:themeColor="text2" w:themeShade="BF"/>
          <w:sz w:val="16"/>
          <w:szCs w:val="16"/>
          <w:lang w:val="sr-Latn-RS"/>
        </w:rPr>
      </w:pPr>
    </w:p>
    <w:p w:rsidR="0001047B" w:rsidRPr="008464DC" w:rsidRDefault="0001047B" w:rsidP="0001047B">
      <w:pPr>
        <w:spacing w:line="276" w:lineRule="auto"/>
        <w:jc w:val="both"/>
        <w:rPr>
          <w:rFonts w:cstheme="minorHAnsi"/>
          <w:sz w:val="22"/>
          <w:szCs w:val="22"/>
        </w:rPr>
      </w:pPr>
      <w:r w:rsidRPr="008464DC">
        <w:rPr>
          <w:rFonts w:cstheme="minorHAnsi"/>
          <w:sz w:val="22"/>
          <w:szCs w:val="22"/>
        </w:rPr>
        <w:t xml:space="preserve">Настављена је сарадња са партнерским агенцијама са којима Агенција има потписане споразуме/меморандуме: Националним телом за акредитацију и проверу квалитета у високом образовању Србије, </w:t>
      </w:r>
      <w:hyperlink r:id="rId8" w:tgtFrame="_blank" w:history="1">
        <w:r w:rsidRPr="008464DC">
          <w:rPr>
            <w:rFonts w:cstheme="minorHAnsi"/>
            <w:sz w:val="22"/>
            <w:szCs w:val="22"/>
          </w:rPr>
          <w:t>Агенцијом за контролу и обезбјеђење квалитета високог образовања</w:t>
        </w:r>
      </w:hyperlink>
      <w:r w:rsidRPr="008464DC">
        <w:rPr>
          <w:rFonts w:cstheme="minorHAnsi"/>
          <w:sz w:val="22"/>
          <w:szCs w:val="22"/>
        </w:rPr>
        <w:t xml:space="preserve"> Црне Горе, </w:t>
      </w:r>
      <w:hyperlink r:id="rId9" w:tgtFrame="_blank" w:history="1">
        <w:r w:rsidRPr="008464DC">
          <w:rPr>
            <w:rFonts w:cstheme="minorHAnsi"/>
            <w:sz w:val="22"/>
            <w:szCs w:val="22"/>
          </w:rPr>
          <w:t xml:space="preserve">Националном агенцијом за акредитацију у области образовања </w:t>
        </w:r>
      </w:hyperlink>
      <w:r w:rsidRPr="008464DC">
        <w:rPr>
          <w:rFonts w:cstheme="minorHAnsi"/>
          <w:sz w:val="22"/>
          <w:szCs w:val="22"/>
        </w:rPr>
        <w:t xml:space="preserve">Руске Федерације, </w:t>
      </w:r>
      <w:hyperlink r:id="rId10" w:tgtFrame="_blank" w:history="1">
        <w:r w:rsidRPr="008464DC">
          <w:rPr>
            <w:rFonts w:cstheme="minorHAnsi"/>
            <w:sz w:val="22"/>
            <w:szCs w:val="22"/>
          </w:rPr>
          <w:t>Агенцијом за обезбјеђење квалитета и стратешки развој високог образовања Арагона</w:t>
        </w:r>
      </w:hyperlink>
      <w:r w:rsidRPr="008464DC">
        <w:rPr>
          <w:rFonts w:cstheme="minorHAnsi"/>
          <w:sz w:val="22"/>
          <w:szCs w:val="22"/>
        </w:rPr>
        <w:t xml:space="preserve"> (Шпанија), Асоцијацијом за вредновање и акредитацију наставничких студијских програма из Турске и Агенцијом за квалитет у високом образовању Каталоније.</w:t>
      </w:r>
    </w:p>
    <w:p w:rsidR="0001047B" w:rsidRPr="008464DC" w:rsidRDefault="0001047B" w:rsidP="0001047B">
      <w:pPr>
        <w:spacing w:line="276" w:lineRule="auto"/>
        <w:contextualSpacing/>
        <w:jc w:val="both"/>
        <w:rPr>
          <w:rFonts w:eastAsia="Calibri" w:cstheme="minorHAnsi"/>
          <w:b/>
          <w:color w:val="323E4F" w:themeColor="text2" w:themeShade="BF"/>
          <w:sz w:val="22"/>
          <w:szCs w:val="22"/>
          <w:lang w:val="sr-Latn-RS"/>
        </w:rPr>
      </w:pPr>
    </w:p>
    <w:p w:rsidR="0001047B" w:rsidRDefault="0001047B" w:rsidP="0001047B">
      <w:pPr>
        <w:pStyle w:val="a1"/>
        <w:numPr>
          <w:ilvl w:val="2"/>
          <w:numId w:val="8"/>
        </w:numPr>
        <w:spacing w:before="0"/>
        <w:rPr>
          <w:rFonts w:asciiTheme="minorHAnsi" w:hAnsiTheme="minorHAnsi" w:cstheme="minorHAnsi"/>
          <w:color w:val="323E4F" w:themeColor="text2" w:themeShade="BF"/>
          <w:lang w:val="sr-Latn-RS"/>
        </w:rPr>
      </w:pPr>
      <w:r w:rsidRPr="004D3D46">
        <w:rPr>
          <w:rFonts w:asciiTheme="minorHAnsi" w:hAnsiTheme="minorHAnsi" w:cstheme="minorHAnsi"/>
          <w:color w:val="323E4F" w:themeColor="text2" w:themeShade="BF"/>
          <w:lang w:val="sr-Latn-RS"/>
        </w:rPr>
        <w:t xml:space="preserve">Пројекти </w:t>
      </w:r>
    </w:p>
    <w:p w:rsidR="000C3C72" w:rsidRPr="000C3C72" w:rsidRDefault="000C3C72" w:rsidP="000C3C72">
      <w:pPr>
        <w:pStyle w:val="a1"/>
        <w:numPr>
          <w:ilvl w:val="0"/>
          <w:numId w:val="0"/>
        </w:numPr>
        <w:spacing w:before="0"/>
        <w:ind w:left="1440"/>
        <w:rPr>
          <w:rFonts w:asciiTheme="minorHAnsi" w:hAnsiTheme="minorHAnsi" w:cstheme="minorHAnsi"/>
          <w:color w:val="323E4F" w:themeColor="text2" w:themeShade="BF"/>
          <w:lang w:val="sr-Latn-RS"/>
        </w:rPr>
      </w:pPr>
    </w:p>
    <w:p w:rsidR="0001047B" w:rsidRPr="00DC7AC6" w:rsidRDefault="0001047B" w:rsidP="000C3C72">
      <w:pPr>
        <w:pStyle w:val="ListParagraph"/>
        <w:numPr>
          <w:ilvl w:val="0"/>
          <w:numId w:val="26"/>
        </w:numPr>
        <w:jc w:val="both"/>
        <w:rPr>
          <w:rFonts w:cstheme="minorHAnsi"/>
          <w:i/>
          <w:lang w:val="sr-Cyrl-RS"/>
        </w:rPr>
      </w:pPr>
      <w:r w:rsidRPr="00DC7AC6">
        <w:rPr>
          <w:rFonts w:cstheme="minorHAnsi"/>
          <w:i/>
        </w:rPr>
        <w:t>Подршка европским агенцијама за обезбјеђење квалитета у испуњавању Стандарда и смјерница за обезбјеђење квалитета у европском простору високог образовања (ESG)</w:t>
      </w:r>
      <w:r w:rsidRPr="00DC7AC6">
        <w:rPr>
          <w:rFonts w:cstheme="minorHAnsi"/>
          <w:i/>
          <w:lang w:val="sr-Cyrl-RS"/>
        </w:rPr>
        <w:t xml:space="preserve"> - </w:t>
      </w:r>
      <w:r w:rsidRPr="00DC7AC6">
        <w:rPr>
          <w:rFonts w:cstheme="minorHAnsi"/>
          <w:i/>
        </w:rPr>
        <w:t>SEQA-ESG 2</w:t>
      </w:r>
    </w:p>
    <w:p w:rsidR="0001047B" w:rsidRPr="008464DC" w:rsidRDefault="0001047B" w:rsidP="0001047B">
      <w:pPr>
        <w:spacing w:after="240" w:line="276" w:lineRule="auto"/>
        <w:jc w:val="both"/>
        <w:rPr>
          <w:rFonts w:cstheme="minorHAnsi"/>
          <w:sz w:val="22"/>
          <w:szCs w:val="22"/>
        </w:rPr>
      </w:pPr>
      <w:r w:rsidRPr="008464DC">
        <w:rPr>
          <w:rFonts w:cstheme="minorHAnsi"/>
          <w:sz w:val="22"/>
          <w:szCs w:val="22"/>
        </w:rPr>
        <w:t>Аг</w:t>
      </w:r>
      <w:r>
        <w:rPr>
          <w:rFonts w:cstheme="minorHAnsi"/>
          <w:sz w:val="22"/>
          <w:szCs w:val="22"/>
        </w:rPr>
        <w:t xml:space="preserve">енција је један од партнера на </w:t>
      </w:r>
      <w:r w:rsidRPr="008464DC">
        <w:rPr>
          <w:rFonts w:cstheme="minorHAnsi"/>
          <w:sz w:val="22"/>
          <w:szCs w:val="22"/>
        </w:rPr>
        <w:t xml:space="preserve">пројекту </w:t>
      </w:r>
      <w:r w:rsidRPr="00DC7AC6">
        <w:rPr>
          <w:rFonts w:cstheme="minorHAnsi"/>
          <w:i/>
          <w:sz w:val="22"/>
          <w:szCs w:val="22"/>
        </w:rPr>
        <w:t>Подршка европским агенцијама за обезбјеђење квалитета у испуњавању Стандарда и смјерница за обезбјеђење квалитета у европском простору високог образовања (ESG)</w:t>
      </w:r>
      <w:r w:rsidRPr="008464DC">
        <w:rPr>
          <w:rFonts w:cstheme="minorHAnsi"/>
          <w:sz w:val="22"/>
          <w:szCs w:val="22"/>
        </w:rPr>
        <w:t xml:space="preserve">, чија је реализација започела у 2023. години.  Пројекат представља подршку агенцијама за обезбјеђење квалитета из Босне и Херцеговине (Агенција Републике Српске и ХЕА), Србије, Украјине и Азербејџана у достизању усклађености рада са ESG.  </w:t>
      </w:r>
    </w:p>
    <w:p w:rsidR="0001047B" w:rsidRPr="008464DC" w:rsidRDefault="0001047B" w:rsidP="0001047B">
      <w:pPr>
        <w:spacing w:after="240" w:line="276" w:lineRule="auto"/>
        <w:jc w:val="both"/>
        <w:rPr>
          <w:rFonts w:cstheme="minorHAnsi"/>
          <w:sz w:val="22"/>
          <w:szCs w:val="22"/>
        </w:rPr>
      </w:pPr>
      <w:r>
        <w:rPr>
          <w:rFonts w:cstheme="minorHAnsi"/>
          <w:sz w:val="22"/>
          <w:szCs w:val="22"/>
          <w:lang w:val="sr-Cyrl-RS"/>
        </w:rPr>
        <w:t xml:space="preserve">У марту </w:t>
      </w:r>
      <w:r w:rsidRPr="008464DC">
        <w:rPr>
          <w:rFonts w:cstheme="minorHAnsi"/>
          <w:sz w:val="22"/>
          <w:szCs w:val="22"/>
        </w:rPr>
        <w:t xml:space="preserve"> 2024. године одржан је у онлајн формату први састанак пројектног конзорцијума у оквиру</w:t>
      </w:r>
      <w:r>
        <w:rPr>
          <w:rFonts w:cstheme="minorHAnsi"/>
          <w:sz w:val="22"/>
          <w:szCs w:val="22"/>
          <w:lang w:val="sr-Cyrl-RS"/>
        </w:rPr>
        <w:t xml:space="preserve"> </w:t>
      </w:r>
      <w:proofErr w:type="gramStart"/>
      <w:r>
        <w:rPr>
          <w:rFonts w:cstheme="minorHAnsi"/>
          <w:sz w:val="22"/>
          <w:szCs w:val="22"/>
          <w:lang w:val="sr-Cyrl-RS"/>
        </w:rPr>
        <w:t xml:space="preserve">пројекта </w:t>
      </w:r>
      <w:r w:rsidRPr="008464DC">
        <w:rPr>
          <w:rFonts w:cstheme="minorHAnsi"/>
          <w:sz w:val="22"/>
          <w:szCs w:val="22"/>
        </w:rPr>
        <w:t xml:space="preserve"> SEQA</w:t>
      </w:r>
      <w:proofErr w:type="gramEnd"/>
      <w:r w:rsidRPr="008464DC">
        <w:rPr>
          <w:rFonts w:cstheme="minorHAnsi"/>
          <w:sz w:val="22"/>
          <w:szCs w:val="22"/>
        </w:rPr>
        <w:t xml:space="preserve">-ESG 2 пројекта. На састанку је било ријечи о предстојећим активностима </w:t>
      </w:r>
      <w:r>
        <w:rPr>
          <w:rFonts w:cstheme="minorHAnsi"/>
          <w:sz w:val="22"/>
          <w:szCs w:val="22"/>
          <w:lang w:val="sr-Cyrl-RS"/>
        </w:rPr>
        <w:t>које</w:t>
      </w:r>
      <w:r w:rsidRPr="008464DC">
        <w:rPr>
          <w:rFonts w:cstheme="minorHAnsi"/>
          <w:sz w:val="22"/>
          <w:szCs w:val="22"/>
        </w:rPr>
        <w:t xml:space="preserve"> укључују одржавање четири радионице (по једна у Београду и Новом Саду и двије у Бриселу) на теме испуњ</w:t>
      </w:r>
      <w:r w:rsidR="004D3D46">
        <w:rPr>
          <w:rFonts w:cstheme="minorHAnsi"/>
          <w:sz w:val="22"/>
          <w:szCs w:val="22"/>
        </w:rPr>
        <w:t>ености појединих захтјева ESG</w:t>
      </w:r>
      <w:r w:rsidRPr="008464DC">
        <w:rPr>
          <w:rFonts w:cstheme="minorHAnsi"/>
          <w:sz w:val="22"/>
          <w:szCs w:val="22"/>
        </w:rPr>
        <w:t xml:space="preserve"> који су идентификовани током одржавања савјетодавних састанака са сваком </w:t>
      </w:r>
      <w:r>
        <w:rPr>
          <w:rFonts w:cstheme="minorHAnsi"/>
          <w:sz w:val="22"/>
          <w:szCs w:val="22"/>
        </w:rPr>
        <w:t>од агенција учесника у пројекту</w:t>
      </w:r>
      <w:r>
        <w:rPr>
          <w:rFonts w:cstheme="minorHAnsi"/>
          <w:sz w:val="22"/>
          <w:szCs w:val="22"/>
          <w:lang w:val="sr-Cyrl-RS"/>
        </w:rPr>
        <w:t xml:space="preserve">. Такође је договорена </w:t>
      </w:r>
      <w:r w:rsidRPr="008464DC">
        <w:rPr>
          <w:rFonts w:cstheme="minorHAnsi"/>
          <w:sz w:val="22"/>
          <w:szCs w:val="22"/>
        </w:rPr>
        <w:t xml:space="preserve"> </w:t>
      </w:r>
      <w:r>
        <w:rPr>
          <w:rFonts w:cstheme="minorHAnsi"/>
          <w:sz w:val="22"/>
          <w:szCs w:val="22"/>
          <w:lang w:val="sr-Cyrl-RS"/>
        </w:rPr>
        <w:t xml:space="preserve">и </w:t>
      </w:r>
      <w:r w:rsidRPr="008464DC">
        <w:rPr>
          <w:rFonts w:cstheme="minorHAnsi"/>
          <w:sz w:val="22"/>
          <w:szCs w:val="22"/>
        </w:rPr>
        <w:t>размјен</w:t>
      </w:r>
      <w:r>
        <w:rPr>
          <w:rFonts w:cstheme="minorHAnsi"/>
          <w:sz w:val="22"/>
          <w:szCs w:val="22"/>
          <w:lang w:val="sr-Cyrl-RS"/>
        </w:rPr>
        <w:t>а</w:t>
      </w:r>
      <w:r w:rsidRPr="008464DC">
        <w:rPr>
          <w:rFonts w:cstheme="minorHAnsi"/>
          <w:sz w:val="22"/>
          <w:szCs w:val="22"/>
        </w:rPr>
        <w:t xml:space="preserve"> особља између агенција у сврху стицања нових знања и учења на основу добрих пракси пуноправних чланица ENQA-e.</w:t>
      </w:r>
    </w:p>
    <w:p w:rsidR="004D3D46" w:rsidRDefault="0001047B" w:rsidP="004D3D46">
      <w:pPr>
        <w:spacing w:after="240" w:line="276" w:lineRule="auto"/>
        <w:jc w:val="both"/>
        <w:rPr>
          <w:rFonts w:cstheme="minorHAnsi"/>
          <w:sz w:val="22"/>
          <w:szCs w:val="22"/>
        </w:rPr>
      </w:pPr>
      <w:r w:rsidRPr="008464DC">
        <w:rPr>
          <w:rFonts w:cstheme="minorHAnsi"/>
          <w:sz w:val="22"/>
          <w:szCs w:val="22"/>
        </w:rPr>
        <w:t xml:space="preserve">Представници Агенције </w:t>
      </w:r>
      <w:r>
        <w:rPr>
          <w:rFonts w:cstheme="minorHAnsi"/>
          <w:sz w:val="22"/>
          <w:szCs w:val="22"/>
          <w:lang w:val="sr-Cyrl-RS"/>
        </w:rPr>
        <w:t xml:space="preserve">су </w:t>
      </w:r>
      <w:r>
        <w:rPr>
          <w:rFonts w:cstheme="minorHAnsi"/>
          <w:sz w:val="22"/>
          <w:szCs w:val="22"/>
        </w:rPr>
        <w:t xml:space="preserve">учествовали </w:t>
      </w:r>
      <w:r w:rsidRPr="008464DC">
        <w:rPr>
          <w:rFonts w:cstheme="minorHAnsi"/>
          <w:sz w:val="22"/>
          <w:szCs w:val="22"/>
        </w:rPr>
        <w:t xml:space="preserve">на </w:t>
      </w:r>
      <w:r>
        <w:rPr>
          <w:rFonts w:cstheme="minorHAnsi"/>
          <w:sz w:val="22"/>
          <w:szCs w:val="22"/>
          <w:lang w:val="sr-Cyrl-RS"/>
        </w:rPr>
        <w:t xml:space="preserve">другој </w:t>
      </w:r>
      <w:r w:rsidRPr="008464DC">
        <w:rPr>
          <w:rFonts w:cstheme="minorHAnsi"/>
          <w:sz w:val="22"/>
          <w:szCs w:val="22"/>
        </w:rPr>
        <w:t>радионици</w:t>
      </w:r>
      <w:r>
        <w:rPr>
          <w:rFonts w:cstheme="minorHAnsi"/>
          <w:sz w:val="22"/>
          <w:szCs w:val="22"/>
          <w:lang w:val="sr-Cyrl-RS"/>
        </w:rPr>
        <w:t xml:space="preserve"> која</w:t>
      </w:r>
      <w:r w:rsidRPr="008464DC">
        <w:rPr>
          <w:rFonts w:cstheme="minorHAnsi"/>
          <w:sz w:val="22"/>
          <w:szCs w:val="22"/>
        </w:rPr>
        <w:t xml:space="preserve"> је одржана у Бриселу </w:t>
      </w:r>
      <w:r w:rsidR="004D3D46">
        <w:rPr>
          <w:rFonts w:cstheme="minorHAnsi"/>
          <w:sz w:val="22"/>
          <w:szCs w:val="22"/>
          <w:lang w:val="sr-Cyrl-RS"/>
        </w:rPr>
        <w:t xml:space="preserve">у </w:t>
      </w:r>
      <w:r w:rsidRPr="008464DC">
        <w:rPr>
          <w:rFonts w:cstheme="minorHAnsi"/>
          <w:sz w:val="22"/>
          <w:szCs w:val="22"/>
        </w:rPr>
        <w:t>октобр</w:t>
      </w:r>
      <w:r w:rsidR="004D3D46">
        <w:rPr>
          <w:rFonts w:cstheme="minorHAnsi"/>
          <w:sz w:val="22"/>
          <w:szCs w:val="22"/>
          <w:lang w:val="sr-Cyrl-RS"/>
        </w:rPr>
        <w:t xml:space="preserve">у </w:t>
      </w:r>
      <w:r w:rsidRPr="008464DC">
        <w:rPr>
          <w:rFonts w:cstheme="minorHAnsi"/>
          <w:sz w:val="22"/>
          <w:szCs w:val="22"/>
        </w:rPr>
        <w:t xml:space="preserve">2024. </w:t>
      </w:r>
      <w:r w:rsidR="00BF1161">
        <w:rPr>
          <w:rFonts w:cstheme="minorHAnsi"/>
          <w:sz w:val="22"/>
          <w:szCs w:val="22"/>
          <w:lang w:val="sr-Cyrl-RS"/>
        </w:rPr>
        <w:t xml:space="preserve"> г</w:t>
      </w:r>
      <w:r w:rsidRPr="008464DC">
        <w:rPr>
          <w:rFonts w:cstheme="minorHAnsi"/>
          <w:sz w:val="22"/>
          <w:szCs w:val="22"/>
        </w:rPr>
        <w:t>одине</w:t>
      </w:r>
      <w:r w:rsidR="004D3D46">
        <w:rPr>
          <w:rFonts w:cstheme="minorHAnsi"/>
          <w:sz w:val="22"/>
          <w:szCs w:val="22"/>
          <w:lang w:val="sr-Cyrl-RS"/>
        </w:rPr>
        <w:t xml:space="preserve"> и</w:t>
      </w:r>
      <w:r w:rsidRPr="008464DC">
        <w:rPr>
          <w:rFonts w:cstheme="minorHAnsi"/>
          <w:sz w:val="22"/>
          <w:szCs w:val="22"/>
        </w:rPr>
        <w:t xml:space="preserve"> на којој се разговарало о Стандардима и смјерницама за осигурање квалитета у Европском прост</w:t>
      </w:r>
      <w:r>
        <w:rPr>
          <w:rFonts w:cstheme="minorHAnsi"/>
          <w:sz w:val="22"/>
          <w:szCs w:val="22"/>
        </w:rPr>
        <w:t xml:space="preserve">ору високог образовања </w:t>
      </w:r>
      <w:r w:rsidRPr="004D3D46">
        <w:rPr>
          <w:rFonts w:cstheme="minorHAnsi"/>
          <w:i/>
          <w:sz w:val="22"/>
          <w:szCs w:val="22"/>
        </w:rPr>
        <w:t xml:space="preserve">ESG 2.4 </w:t>
      </w:r>
      <w:r w:rsidR="004D3D46" w:rsidRPr="004D3D46">
        <w:rPr>
          <w:rFonts w:cstheme="minorHAnsi"/>
          <w:i/>
          <w:sz w:val="22"/>
          <w:szCs w:val="22"/>
        </w:rPr>
        <w:t>Peer review experts</w:t>
      </w:r>
      <w:r>
        <w:rPr>
          <w:rFonts w:cstheme="minorHAnsi"/>
          <w:sz w:val="22"/>
          <w:szCs w:val="22"/>
          <w:lang w:val="sr-Cyrl-RS"/>
        </w:rPr>
        <w:t xml:space="preserve">. </w:t>
      </w:r>
      <w:r>
        <w:rPr>
          <w:rFonts w:cstheme="minorHAnsi"/>
          <w:sz w:val="22"/>
          <w:szCs w:val="22"/>
        </w:rPr>
        <w:t>Учесници на радионици</w:t>
      </w:r>
      <w:r>
        <w:rPr>
          <w:rFonts w:cstheme="minorHAnsi"/>
          <w:sz w:val="22"/>
          <w:szCs w:val="22"/>
          <w:lang w:val="sr-Cyrl-RS"/>
        </w:rPr>
        <w:t>, поред пројектних партнера, су били и</w:t>
      </w:r>
      <w:r w:rsidRPr="008464DC">
        <w:rPr>
          <w:rFonts w:cstheme="minorHAnsi"/>
          <w:sz w:val="22"/>
          <w:szCs w:val="22"/>
        </w:rPr>
        <w:t xml:space="preserve"> експ</w:t>
      </w:r>
      <w:r w:rsidR="004D3D46">
        <w:rPr>
          <w:rFonts w:cstheme="minorHAnsi"/>
          <w:sz w:val="22"/>
          <w:szCs w:val="22"/>
        </w:rPr>
        <w:t>ерти из Аустрије (AQ AUSTRIA)</w:t>
      </w:r>
      <w:r w:rsidR="004D3D46">
        <w:rPr>
          <w:rFonts w:cstheme="minorHAnsi"/>
          <w:sz w:val="22"/>
          <w:szCs w:val="22"/>
          <w:lang w:val="sr-Cyrl-RS"/>
        </w:rPr>
        <w:t xml:space="preserve">, </w:t>
      </w:r>
      <w:r w:rsidRPr="008464DC">
        <w:rPr>
          <w:rFonts w:cstheme="minorHAnsi"/>
          <w:sz w:val="22"/>
          <w:szCs w:val="22"/>
        </w:rPr>
        <w:t xml:space="preserve">Белгије (VLUHR), Словеније (NAKVIS), Португала (A3ES) и </w:t>
      </w:r>
      <w:r w:rsidR="004D3D46">
        <w:rPr>
          <w:rFonts w:cstheme="minorHAnsi"/>
          <w:sz w:val="22"/>
          <w:szCs w:val="22"/>
        </w:rPr>
        <w:t>Европске студенске уније (ESU).</w:t>
      </w:r>
    </w:p>
    <w:p w:rsidR="0001047B" w:rsidRPr="008464DC" w:rsidRDefault="0001047B" w:rsidP="0001047B">
      <w:pPr>
        <w:spacing w:line="276" w:lineRule="auto"/>
        <w:jc w:val="both"/>
        <w:rPr>
          <w:rFonts w:cstheme="minorHAnsi"/>
          <w:sz w:val="22"/>
          <w:szCs w:val="22"/>
        </w:rPr>
      </w:pPr>
      <w:r>
        <w:rPr>
          <w:rFonts w:cstheme="minorHAnsi"/>
          <w:sz w:val="22"/>
          <w:szCs w:val="22"/>
          <w:lang w:val="sr-Cyrl-RS"/>
        </w:rPr>
        <w:t>Т</w:t>
      </w:r>
      <w:r>
        <w:rPr>
          <w:rFonts w:cstheme="minorHAnsi"/>
          <w:sz w:val="22"/>
          <w:szCs w:val="22"/>
        </w:rPr>
        <w:t>рећ</w:t>
      </w:r>
      <w:r>
        <w:rPr>
          <w:rFonts w:cstheme="minorHAnsi"/>
          <w:sz w:val="22"/>
          <w:szCs w:val="22"/>
          <w:lang w:val="sr-Cyrl-RS"/>
        </w:rPr>
        <w:t>а</w:t>
      </w:r>
      <w:r>
        <w:rPr>
          <w:rFonts w:cstheme="minorHAnsi"/>
          <w:sz w:val="22"/>
          <w:szCs w:val="22"/>
        </w:rPr>
        <w:t xml:space="preserve"> радиониц</w:t>
      </w:r>
      <w:r>
        <w:rPr>
          <w:rFonts w:cstheme="minorHAnsi"/>
          <w:sz w:val="22"/>
          <w:szCs w:val="22"/>
          <w:lang w:val="sr-Cyrl-RS"/>
        </w:rPr>
        <w:t>а</w:t>
      </w:r>
      <w:r w:rsidRPr="008464DC">
        <w:rPr>
          <w:rFonts w:cstheme="minorHAnsi"/>
          <w:sz w:val="22"/>
          <w:szCs w:val="22"/>
        </w:rPr>
        <w:t xml:space="preserve"> у оквиру </w:t>
      </w:r>
      <w:r>
        <w:rPr>
          <w:rFonts w:cstheme="minorHAnsi"/>
          <w:sz w:val="22"/>
          <w:szCs w:val="22"/>
        </w:rPr>
        <w:t>пројекта</w:t>
      </w:r>
      <w:r>
        <w:rPr>
          <w:rFonts w:cstheme="minorHAnsi"/>
          <w:sz w:val="22"/>
          <w:szCs w:val="22"/>
          <w:lang w:val="sr-Cyrl-RS"/>
        </w:rPr>
        <w:t xml:space="preserve"> </w:t>
      </w:r>
      <w:r w:rsidR="004D3D46">
        <w:rPr>
          <w:rFonts w:cstheme="minorHAnsi"/>
          <w:sz w:val="22"/>
          <w:szCs w:val="22"/>
        </w:rPr>
        <w:t>одржана је</w:t>
      </w:r>
      <w:r w:rsidR="004D3D46">
        <w:rPr>
          <w:rFonts w:cstheme="minorHAnsi"/>
          <w:sz w:val="22"/>
          <w:szCs w:val="22"/>
          <w:lang w:val="sr-Cyrl-RS"/>
        </w:rPr>
        <w:t xml:space="preserve"> </w:t>
      </w:r>
      <w:r w:rsidRPr="008464DC">
        <w:rPr>
          <w:rFonts w:cstheme="minorHAnsi"/>
          <w:sz w:val="22"/>
          <w:szCs w:val="22"/>
        </w:rPr>
        <w:t xml:space="preserve">у Бриселу </w:t>
      </w:r>
      <w:r>
        <w:rPr>
          <w:rFonts w:cstheme="minorHAnsi"/>
          <w:sz w:val="22"/>
          <w:szCs w:val="22"/>
          <w:lang w:val="sr-Cyrl-RS"/>
        </w:rPr>
        <w:t>у новембру 2024. године.</w:t>
      </w:r>
      <w:r w:rsidRPr="008464DC">
        <w:rPr>
          <w:rFonts w:cstheme="minorHAnsi"/>
          <w:sz w:val="22"/>
          <w:szCs w:val="22"/>
        </w:rPr>
        <w:t xml:space="preserve"> </w:t>
      </w:r>
      <w:r>
        <w:rPr>
          <w:rFonts w:cstheme="minorHAnsi"/>
          <w:sz w:val="22"/>
          <w:szCs w:val="22"/>
          <w:lang w:val="sr-Cyrl-RS"/>
        </w:rPr>
        <w:t>На р</w:t>
      </w:r>
      <w:r w:rsidRPr="008464DC">
        <w:rPr>
          <w:rFonts w:cstheme="minorHAnsi"/>
          <w:sz w:val="22"/>
          <w:szCs w:val="22"/>
        </w:rPr>
        <w:t>адиониц</w:t>
      </w:r>
      <w:r>
        <w:rPr>
          <w:rFonts w:cstheme="minorHAnsi"/>
          <w:sz w:val="22"/>
          <w:szCs w:val="22"/>
          <w:lang w:val="sr-Cyrl-RS"/>
        </w:rPr>
        <w:t>и</w:t>
      </w:r>
      <w:r w:rsidRPr="008464DC">
        <w:rPr>
          <w:rFonts w:cstheme="minorHAnsi"/>
          <w:sz w:val="22"/>
          <w:szCs w:val="22"/>
        </w:rPr>
        <w:t xml:space="preserve"> се разговарало о укључености заинтересованих страна у рад агенција за обезбјеђење</w:t>
      </w:r>
      <w:r>
        <w:rPr>
          <w:rFonts w:cstheme="minorHAnsi"/>
          <w:sz w:val="22"/>
          <w:szCs w:val="22"/>
        </w:rPr>
        <w:t xml:space="preserve"> квалитета у високом образовању</w:t>
      </w:r>
      <w:r>
        <w:rPr>
          <w:rFonts w:cstheme="minorHAnsi"/>
          <w:sz w:val="22"/>
          <w:szCs w:val="22"/>
          <w:lang w:val="sr-Cyrl-RS"/>
        </w:rPr>
        <w:t xml:space="preserve">. </w:t>
      </w:r>
    </w:p>
    <w:p w:rsidR="0001047B" w:rsidRDefault="0001047B" w:rsidP="0001047B">
      <w:pPr>
        <w:spacing w:line="276" w:lineRule="auto"/>
        <w:jc w:val="both"/>
        <w:rPr>
          <w:rFonts w:cstheme="minorHAnsi"/>
          <w:sz w:val="22"/>
          <w:szCs w:val="22"/>
        </w:rPr>
      </w:pPr>
    </w:p>
    <w:p w:rsidR="0001047B" w:rsidRPr="009764A8" w:rsidRDefault="0001047B" w:rsidP="0001047B">
      <w:pPr>
        <w:pStyle w:val="ListParagraph"/>
        <w:numPr>
          <w:ilvl w:val="0"/>
          <w:numId w:val="26"/>
        </w:numPr>
        <w:jc w:val="both"/>
        <w:rPr>
          <w:rFonts w:eastAsiaTheme="minorHAnsi" w:cstheme="minorHAnsi"/>
          <w:lang w:val="en-US" w:eastAsia="en-US"/>
        </w:rPr>
      </w:pPr>
      <w:r w:rsidRPr="00DC7AC6">
        <w:rPr>
          <w:rFonts w:cstheme="minorHAnsi"/>
          <w:i/>
        </w:rPr>
        <w:t xml:space="preserve">Јачање капацитета </w:t>
      </w:r>
      <w:r w:rsidRPr="00DC7AC6">
        <w:rPr>
          <w:rFonts w:cstheme="minorHAnsi"/>
          <w:i/>
          <w:lang w:val="sr-Cyrl-RS"/>
        </w:rPr>
        <w:t>и</w:t>
      </w:r>
      <w:r w:rsidRPr="00DC7AC6">
        <w:rPr>
          <w:rFonts w:cstheme="minorHAnsi"/>
          <w:i/>
        </w:rPr>
        <w:t xml:space="preserve"> механизама за унапређење квалитета у високом образовању </w:t>
      </w:r>
      <w:r w:rsidRPr="009764A8">
        <w:rPr>
          <w:rFonts w:eastAsiaTheme="minorHAnsi" w:cstheme="minorHAnsi"/>
          <w:lang w:val="en-US" w:eastAsia="en-US"/>
        </w:rPr>
        <w:t>БиХ- SMEQA-ERASMUS-EDU-2023-CBHE-STRAND-3</w:t>
      </w:r>
    </w:p>
    <w:p w:rsidR="0001047B" w:rsidRDefault="0001047B" w:rsidP="0001047B">
      <w:pPr>
        <w:spacing w:after="240" w:line="276" w:lineRule="auto"/>
        <w:jc w:val="both"/>
        <w:rPr>
          <w:rFonts w:cstheme="minorHAnsi"/>
          <w:sz w:val="22"/>
          <w:szCs w:val="22"/>
        </w:rPr>
      </w:pPr>
      <w:r w:rsidRPr="008464DC">
        <w:rPr>
          <w:rFonts w:cstheme="minorHAnsi"/>
          <w:sz w:val="22"/>
          <w:szCs w:val="22"/>
        </w:rPr>
        <w:t xml:space="preserve">У организацији Универзитета у Зеници </w:t>
      </w:r>
      <w:r>
        <w:rPr>
          <w:rFonts w:cstheme="minorHAnsi"/>
          <w:sz w:val="22"/>
          <w:szCs w:val="22"/>
          <w:lang w:val="sr-Cyrl-RS"/>
        </w:rPr>
        <w:t>у фебруару</w:t>
      </w:r>
      <w:r w:rsidRPr="008464DC">
        <w:rPr>
          <w:rFonts w:cstheme="minorHAnsi"/>
          <w:sz w:val="22"/>
          <w:szCs w:val="22"/>
        </w:rPr>
        <w:t xml:space="preserve"> 2024. године одржан је први састанак партнера у реали</w:t>
      </w:r>
      <w:r>
        <w:rPr>
          <w:rFonts w:cstheme="minorHAnsi"/>
          <w:sz w:val="22"/>
          <w:szCs w:val="22"/>
        </w:rPr>
        <w:t xml:space="preserve">зацији пројекта </w:t>
      </w:r>
      <w:r w:rsidRPr="004D3D46">
        <w:rPr>
          <w:rFonts w:cstheme="minorHAnsi"/>
          <w:i/>
          <w:sz w:val="22"/>
          <w:szCs w:val="22"/>
        </w:rPr>
        <w:t xml:space="preserve">Јачање капацитета </w:t>
      </w:r>
      <w:r w:rsidRPr="004D3D46">
        <w:rPr>
          <w:rFonts w:cstheme="minorHAnsi"/>
          <w:i/>
          <w:sz w:val="22"/>
          <w:szCs w:val="22"/>
          <w:lang w:val="sr-Cyrl-RS"/>
        </w:rPr>
        <w:t>и</w:t>
      </w:r>
      <w:r w:rsidRPr="004D3D46">
        <w:rPr>
          <w:rFonts w:cstheme="minorHAnsi"/>
          <w:i/>
          <w:sz w:val="22"/>
          <w:szCs w:val="22"/>
        </w:rPr>
        <w:t xml:space="preserve"> механизама за унапређење квалитета у високом образовању БиХ</w:t>
      </w:r>
      <w:r w:rsidRPr="004D3D46">
        <w:rPr>
          <w:rFonts w:cstheme="minorHAnsi"/>
          <w:i/>
          <w:sz w:val="22"/>
          <w:szCs w:val="22"/>
          <w:lang w:val="sr-Cyrl-RS"/>
        </w:rPr>
        <w:t xml:space="preserve"> (</w:t>
      </w:r>
      <w:r w:rsidRPr="004D3D46">
        <w:rPr>
          <w:rFonts w:cstheme="minorHAnsi"/>
          <w:i/>
          <w:sz w:val="22"/>
          <w:szCs w:val="22"/>
        </w:rPr>
        <w:t>SMEQA</w:t>
      </w:r>
      <w:r w:rsidRPr="009764A8">
        <w:t xml:space="preserve"> </w:t>
      </w:r>
      <w:r w:rsidRPr="009764A8">
        <w:rPr>
          <w:rFonts w:cstheme="minorHAnsi"/>
          <w:sz w:val="22"/>
          <w:szCs w:val="22"/>
        </w:rPr>
        <w:t>)</w:t>
      </w:r>
      <w:r w:rsidRPr="009764A8">
        <w:rPr>
          <w:vertAlign w:val="superscript"/>
        </w:rPr>
        <w:footnoteReference w:id="22"/>
      </w:r>
      <w:r w:rsidRPr="009764A8">
        <w:rPr>
          <w:rFonts w:cstheme="minorHAnsi"/>
          <w:sz w:val="22"/>
          <w:szCs w:val="22"/>
        </w:rPr>
        <w:t xml:space="preserve">, у којем је </w:t>
      </w:r>
      <w:r w:rsidRPr="008464DC">
        <w:rPr>
          <w:rFonts w:cstheme="minorHAnsi"/>
          <w:sz w:val="22"/>
          <w:szCs w:val="22"/>
        </w:rPr>
        <w:t xml:space="preserve">Агенција један од 19 партнера у </w:t>
      </w:r>
      <w:r>
        <w:rPr>
          <w:rFonts w:cstheme="minorHAnsi"/>
          <w:sz w:val="22"/>
          <w:szCs w:val="22"/>
        </w:rPr>
        <w:t>пројекту.</w:t>
      </w:r>
      <w:r w:rsidRPr="009764A8">
        <w:rPr>
          <w:rFonts w:cstheme="minorHAnsi"/>
          <w:sz w:val="22"/>
          <w:szCs w:val="22"/>
        </w:rPr>
        <w:t xml:space="preserve"> У новембру</w:t>
      </w:r>
      <w:r w:rsidRPr="008464DC">
        <w:rPr>
          <w:rFonts w:cstheme="minorHAnsi"/>
          <w:sz w:val="22"/>
          <w:szCs w:val="22"/>
        </w:rPr>
        <w:t xml:space="preserve"> 2024. године одржана је студијска посјета Универзитету у Љубљани и Агенцији за квалитет у високом образовању Словеније (НАКВИС)</w:t>
      </w:r>
      <w:r>
        <w:rPr>
          <w:rFonts w:cstheme="minorHAnsi"/>
          <w:sz w:val="22"/>
          <w:szCs w:val="22"/>
          <w:lang w:val="sr-Cyrl-RS"/>
        </w:rPr>
        <w:t xml:space="preserve">. </w:t>
      </w:r>
      <w:r w:rsidRPr="008464DC">
        <w:rPr>
          <w:rFonts w:cstheme="minorHAnsi"/>
          <w:sz w:val="22"/>
          <w:szCs w:val="22"/>
        </w:rPr>
        <w:t xml:space="preserve"> Студијска посјета била је посвећена процесима вањског вредновања, као и процесима унутрашњег обезбјеђења квалитета на Универзитету у Љубљани, </w:t>
      </w:r>
      <w:r>
        <w:rPr>
          <w:rFonts w:cstheme="minorHAnsi"/>
          <w:sz w:val="22"/>
          <w:szCs w:val="22"/>
          <w:lang w:val="sr-Cyrl-RS"/>
        </w:rPr>
        <w:t>а</w:t>
      </w:r>
      <w:r w:rsidRPr="008464DC">
        <w:rPr>
          <w:rFonts w:cstheme="minorHAnsi"/>
          <w:sz w:val="22"/>
          <w:szCs w:val="22"/>
        </w:rPr>
        <w:t xml:space="preserve"> разговарано је и о пројектним активностима које укључују дисеминаци</w:t>
      </w:r>
      <w:r>
        <w:rPr>
          <w:rFonts w:cstheme="minorHAnsi"/>
          <w:sz w:val="22"/>
          <w:szCs w:val="22"/>
        </w:rPr>
        <w:t>ју активности у оквиру пројекта</w:t>
      </w:r>
      <w:r>
        <w:rPr>
          <w:rFonts w:cstheme="minorHAnsi"/>
          <w:sz w:val="22"/>
          <w:szCs w:val="22"/>
          <w:lang w:val="sr-Cyrl-RS"/>
        </w:rPr>
        <w:t xml:space="preserve">. </w:t>
      </w:r>
      <w:r w:rsidRPr="008464DC">
        <w:rPr>
          <w:rFonts w:cstheme="minorHAnsi"/>
          <w:sz w:val="22"/>
          <w:szCs w:val="22"/>
        </w:rPr>
        <w:t xml:space="preserve"> </w:t>
      </w:r>
    </w:p>
    <w:p w:rsidR="0001047B" w:rsidRPr="009764A8" w:rsidRDefault="0001047B" w:rsidP="0001047B">
      <w:pPr>
        <w:spacing w:line="276" w:lineRule="auto"/>
        <w:jc w:val="both"/>
        <w:rPr>
          <w:rFonts w:cstheme="minorHAnsi"/>
          <w:sz w:val="22"/>
          <w:szCs w:val="22"/>
        </w:rPr>
      </w:pPr>
      <w:r>
        <w:rPr>
          <w:rFonts w:cstheme="minorHAnsi"/>
          <w:sz w:val="22"/>
          <w:szCs w:val="22"/>
          <w:lang w:val="sr-Cyrl-RS"/>
        </w:rPr>
        <w:t xml:space="preserve">Агенција је у децембру 2024. године упутила координаторима пројекта </w:t>
      </w:r>
      <w:r w:rsidRPr="009764A8">
        <w:rPr>
          <w:rFonts w:cstheme="minorHAnsi"/>
          <w:sz w:val="22"/>
          <w:szCs w:val="22"/>
        </w:rPr>
        <w:t xml:space="preserve">писмо намјере о повлачењу из пројекта због ограничења у погледу људских ресурса, те потребе да </w:t>
      </w:r>
      <w:r w:rsidR="00EC1115">
        <w:rPr>
          <w:rFonts w:cstheme="minorHAnsi"/>
          <w:sz w:val="22"/>
          <w:szCs w:val="22"/>
          <w:lang w:val="sr-Cyrl-RS"/>
        </w:rPr>
        <w:t xml:space="preserve">се </w:t>
      </w:r>
      <w:r w:rsidRPr="009764A8">
        <w:rPr>
          <w:rFonts w:cstheme="minorHAnsi"/>
          <w:sz w:val="22"/>
          <w:szCs w:val="22"/>
        </w:rPr>
        <w:t>редефиниш</w:t>
      </w:r>
      <w:r w:rsidR="00EC1115">
        <w:rPr>
          <w:rFonts w:cstheme="minorHAnsi"/>
          <w:sz w:val="22"/>
          <w:szCs w:val="22"/>
          <w:lang w:val="sr-Cyrl-RS"/>
        </w:rPr>
        <w:t>у</w:t>
      </w:r>
      <w:r w:rsidR="00EC1115">
        <w:rPr>
          <w:rFonts w:cstheme="minorHAnsi"/>
          <w:sz w:val="22"/>
          <w:szCs w:val="22"/>
        </w:rPr>
        <w:t xml:space="preserve"> приорите</w:t>
      </w:r>
      <w:r w:rsidR="00EC1115">
        <w:rPr>
          <w:rFonts w:cstheme="minorHAnsi"/>
          <w:sz w:val="22"/>
          <w:szCs w:val="22"/>
          <w:lang w:val="sr-Cyrl-RS"/>
        </w:rPr>
        <w:t>тни</w:t>
      </w:r>
      <w:r w:rsidR="00EC1115">
        <w:rPr>
          <w:rFonts w:cstheme="minorHAnsi"/>
          <w:sz w:val="22"/>
          <w:szCs w:val="22"/>
        </w:rPr>
        <w:t xml:space="preserve"> пројек</w:t>
      </w:r>
      <w:r w:rsidR="00EC1115">
        <w:rPr>
          <w:rFonts w:cstheme="minorHAnsi"/>
          <w:sz w:val="22"/>
          <w:szCs w:val="22"/>
          <w:lang w:val="sr-Cyrl-RS"/>
        </w:rPr>
        <w:t xml:space="preserve">ти </w:t>
      </w:r>
      <w:r w:rsidRPr="009764A8">
        <w:rPr>
          <w:rFonts w:cstheme="minorHAnsi"/>
          <w:sz w:val="22"/>
          <w:szCs w:val="22"/>
        </w:rPr>
        <w:t>у којима учествује. Имајући у виду стратешко опредјељење Агенције да оствари пуноправно чланство у ENQA, одлучено је да приоритет у наредном периоду буде SEQA-ESG2 пројекат, те се Агенција морала повући из учешћа у SMEQA пројекту.</w:t>
      </w:r>
    </w:p>
    <w:p w:rsidR="0001047B" w:rsidRPr="001D4727" w:rsidRDefault="0001047B" w:rsidP="0001047B">
      <w:pPr>
        <w:spacing w:line="276" w:lineRule="auto"/>
        <w:jc w:val="both"/>
        <w:rPr>
          <w:rFonts w:cstheme="minorHAnsi"/>
          <w:color w:val="1F3864" w:themeColor="accent1" w:themeShade="80"/>
          <w:sz w:val="22"/>
          <w:szCs w:val="22"/>
        </w:rPr>
      </w:pPr>
    </w:p>
    <w:p w:rsidR="0001047B" w:rsidRPr="001D4727" w:rsidRDefault="0001047B" w:rsidP="001D4727">
      <w:pPr>
        <w:pStyle w:val="ListParagraph"/>
        <w:numPr>
          <w:ilvl w:val="2"/>
          <w:numId w:val="8"/>
        </w:numPr>
        <w:spacing w:after="0"/>
        <w:jc w:val="both"/>
        <w:rPr>
          <w:rFonts w:eastAsiaTheme="minorHAnsi" w:cstheme="minorHAnsi"/>
          <w:b/>
          <w:color w:val="1F3864" w:themeColor="accent1" w:themeShade="80"/>
          <w:sz w:val="24"/>
          <w:szCs w:val="24"/>
          <w:lang w:val="en-US" w:eastAsia="en-US"/>
        </w:rPr>
      </w:pPr>
      <w:r w:rsidRPr="001D4727">
        <w:rPr>
          <w:rFonts w:eastAsiaTheme="minorHAnsi" w:cstheme="minorHAnsi"/>
          <w:b/>
          <w:color w:val="1F3864" w:themeColor="accent1" w:themeShade="80"/>
          <w:sz w:val="24"/>
          <w:szCs w:val="24"/>
          <w:lang w:val="en-US" w:eastAsia="en-US"/>
        </w:rPr>
        <w:t xml:space="preserve">Остале активности </w:t>
      </w:r>
    </w:p>
    <w:p w:rsidR="001D4727" w:rsidRPr="006678CF" w:rsidRDefault="001D4727" w:rsidP="001D4727">
      <w:pPr>
        <w:pStyle w:val="ListParagraph"/>
        <w:spacing w:after="0"/>
        <w:ind w:left="1440"/>
        <w:jc w:val="both"/>
        <w:rPr>
          <w:rFonts w:eastAsiaTheme="minorHAnsi" w:cstheme="minorHAnsi"/>
          <w:b/>
          <w:sz w:val="24"/>
          <w:szCs w:val="24"/>
          <w:lang w:val="en-US" w:eastAsia="en-US"/>
        </w:rPr>
      </w:pPr>
    </w:p>
    <w:p w:rsidR="001A4B0E" w:rsidRDefault="0001047B" w:rsidP="001A4B0E">
      <w:pPr>
        <w:spacing w:after="240" w:line="276" w:lineRule="auto"/>
        <w:jc w:val="both"/>
        <w:rPr>
          <w:rFonts w:cstheme="minorHAnsi"/>
          <w:sz w:val="22"/>
          <w:szCs w:val="22"/>
        </w:rPr>
      </w:pPr>
      <w:r w:rsidRPr="008464DC">
        <w:rPr>
          <w:rFonts w:cstheme="minorHAnsi"/>
          <w:sz w:val="22"/>
          <w:szCs w:val="22"/>
        </w:rPr>
        <w:t>Током 2024. године Агенција је била организатор и учесник бројних активности у области обезбјеђења квалитета у високом образовању.</w:t>
      </w:r>
    </w:p>
    <w:p w:rsidR="0001047B" w:rsidRPr="001218D2" w:rsidRDefault="0001047B" w:rsidP="001A4B0E">
      <w:pPr>
        <w:spacing w:after="240" w:line="276" w:lineRule="auto"/>
        <w:jc w:val="both"/>
        <w:rPr>
          <w:rFonts w:cstheme="minorHAnsi"/>
          <w:sz w:val="22"/>
          <w:szCs w:val="22"/>
        </w:rPr>
      </w:pPr>
      <w:r>
        <w:rPr>
          <w:rFonts w:cstheme="minorHAnsi"/>
          <w:sz w:val="22"/>
          <w:szCs w:val="22"/>
          <w:lang w:val="sr-Cyrl-RS"/>
        </w:rPr>
        <w:t>У мају</w:t>
      </w:r>
      <w:r w:rsidRPr="001218D2">
        <w:rPr>
          <w:rFonts w:cstheme="minorHAnsi"/>
          <w:sz w:val="22"/>
          <w:szCs w:val="22"/>
        </w:rPr>
        <w:t xml:space="preserve"> 2024. године одржан је састанак </w:t>
      </w:r>
      <w:proofErr w:type="gramStart"/>
      <w:r w:rsidRPr="001218D2">
        <w:rPr>
          <w:rFonts w:cstheme="minorHAnsi"/>
          <w:sz w:val="22"/>
          <w:szCs w:val="22"/>
        </w:rPr>
        <w:t>свих  р</w:t>
      </w:r>
      <w:r w:rsidR="006678CF">
        <w:rPr>
          <w:rFonts w:cstheme="minorHAnsi"/>
          <w:sz w:val="22"/>
          <w:szCs w:val="22"/>
        </w:rPr>
        <w:t>елевантних</w:t>
      </w:r>
      <w:proofErr w:type="gramEnd"/>
      <w:r w:rsidR="006678CF">
        <w:rPr>
          <w:rFonts w:cstheme="minorHAnsi"/>
          <w:sz w:val="22"/>
          <w:szCs w:val="22"/>
        </w:rPr>
        <w:t xml:space="preserve"> институција на тему </w:t>
      </w:r>
      <w:r w:rsidR="006678CF">
        <w:rPr>
          <w:rFonts w:cstheme="minorHAnsi"/>
          <w:sz w:val="22"/>
          <w:szCs w:val="22"/>
          <w:lang w:val="sr-Cyrl-RS"/>
        </w:rPr>
        <w:t xml:space="preserve"> </w:t>
      </w:r>
      <w:r w:rsidRPr="006678CF">
        <w:rPr>
          <w:rFonts w:cstheme="minorHAnsi"/>
          <w:i/>
          <w:sz w:val="22"/>
          <w:szCs w:val="22"/>
        </w:rPr>
        <w:t>Упознавање са појмом, значајем и циљем развоја Квалификацијског оквира Републике Српске</w:t>
      </w:r>
      <w:r w:rsidRPr="001218D2">
        <w:rPr>
          <w:rFonts w:cstheme="minorHAnsi"/>
          <w:sz w:val="22"/>
          <w:szCs w:val="22"/>
        </w:rPr>
        <w:t>.</w:t>
      </w:r>
      <w:r w:rsidRPr="00E17EE7">
        <w:rPr>
          <w:rFonts w:cstheme="minorHAnsi"/>
          <w:sz w:val="22"/>
          <w:szCs w:val="22"/>
        </w:rPr>
        <w:t xml:space="preserve"> </w:t>
      </w:r>
      <w:r>
        <w:rPr>
          <w:rFonts w:cstheme="minorHAnsi"/>
          <w:sz w:val="22"/>
          <w:szCs w:val="22"/>
          <w:lang w:val="sr-Cyrl-RS"/>
        </w:rPr>
        <w:t xml:space="preserve">Представници </w:t>
      </w:r>
      <w:r w:rsidRPr="001218D2">
        <w:rPr>
          <w:rFonts w:cstheme="minorHAnsi"/>
          <w:sz w:val="22"/>
          <w:szCs w:val="22"/>
        </w:rPr>
        <w:t xml:space="preserve">Агенције </w:t>
      </w:r>
      <w:r>
        <w:rPr>
          <w:rFonts w:cstheme="minorHAnsi"/>
          <w:sz w:val="22"/>
          <w:szCs w:val="22"/>
          <w:lang w:val="sr-Cyrl-RS"/>
        </w:rPr>
        <w:t>су</w:t>
      </w:r>
      <w:r>
        <w:rPr>
          <w:rFonts w:cstheme="minorHAnsi"/>
          <w:sz w:val="22"/>
          <w:szCs w:val="22"/>
        </w:rPr>
        <w:t xml:space="preserve"> одржала </w:t>
      </w:r>
      <w:r w:rsidRPr="001218D2">
        <w:rPr>
          <w:rFonts w:cstheme="minorHAnsi"/>
          <w:sz w:val="22"/>
          <w:szCs w:val="22"/>
        </w:rPr>
        <w:t xml:space="preserve">презентацију на тему </w:t>
      </w:r>
      <w:r w:rsidRPr="006678CF">
        <w:rPr>
          <w:rFonts w:cstheme="minorHAnsi"/>
          <w:i/>
          <w:sz w:val="22"/>
          <w:szCs w:val="22"/>
        </w:rPr>
        <w:t>Повезаност квалификацијског оквира са осигурањем квалитета у високом образовању</w:t>
      </w:r>
      <w:r w:rsidRPr="001218D2">
        <w:rPr>
          <w:rFonts w:cstheme="minorHAnsi"/>
          <w:sz w:val="22"/>
          <w:szCs w:val="22"/>
        </w:rPr>
        <w:t xml:space="preserve">. </w:t>
      </w:r>
      <w:r w:rsidR="006678CF">
        <w:rPr>
          <w:rFonts w:cstheme="minorHAnsi"/>
          <w:sz w:val="22"/>
          <w:szCs w:val="22"/>
          <w:lang w:val="sr-Cyrl-RS"/>
        </w:rPr>
        <w:t>Наглашено је</w:t>
      </w:r>
      <w:r w:rsidRPr="001218D2">
        <w:rPr>
          <w:rFonts w:cstheme="minorHAnsi"/>
          <w:sz w:val="22"/>
          <w:szCs w:val="22"/>
        </w:rPr>
        <w:t xml:space="preserve"> да се кроз осигурање квалитета провјерава да ли исходи учења и компетенције стечене кроз образовање одговарају нивоима и дескрипторима квалификацијског оквира чиме се обезбјеђује поузданост и кредибилитет система квалификација. Презентација је обухватила и стандарде квалификација, као и стандарде занимања и њихово значај за креирање студијских програма и тржиште рада. </w:t>
      </w:r>
    </w:p>
    <w:p w:rsidR="0001047B" w:rsidRDefault="0001047B" w:rsidP="0001047B">
      <w:pPr>
        <w:spacing w:after="240" w:line="276" w:lineRule="auto"/>
        <w:jc w:val="both"/>
        <w:rPr>
          <w:rFonts w:cstheme="minorHAnsi"/>
          <w:sz w:val="22"/>
          <w:szCs w:val="22"/>
        </w:rPr>
      </w:pPr>
      <w:r>
        <w:rPr>
          <w:rFonts w:cstheme="minorHAnsi"/>
          <w:sz w:val="22"/>
          <w:szCs w:val="22"/>
          <w:lang w:val="sr-Cyrl-RS"/>
        </w:rPr>
        <w:t>П</w:t>
      </w:r>
      <w:r w:rsidRPr="001218D2">
        <w:rPr>
          <w:rFonts w:cstheme="minorHAnsi"/>
          <w:sz w:val="22"/>
          <w:szCs w:val="22"/>
        </w:rPr>
        <w:t xml:space="preserve">редставници Агенције </w:t>
      </w:r>
      <w:r>
        <w:rPr>
          <w:rFonts w:cstheme="minorHAnsi"/>
          <w:sz w:val="22"/>
          <w:szCs w:val="22"/>
          <w:lang w:val="sr-Cyrl-RS"/>
        </w:rPr>
        <w:t>су у новембру 2024. године</w:t>
      </w:r>
      <w:r>
        <w:rPr>
          <w:rFonts w:cstheme="minorHAnsi"/>
          <w:sz w:val="22"/>
          <w:szCs w:val="22"/>
        </w:rPr>
        <w:t xml:space="preserve"> присуствовали </w:t>
      </w:r>
      <w:r w:rsidRPr="001218D2">
        <w:rPr>
          <w:rFonts w:cstheme="minorHAnsi"/>
          <w:sz w:val="22"/>
          <w:szCs w:val="22"/>
        </w:rPr>
        <w:t>вебинару који је организовала Агенција за квалитет у високом образовању Словеније (НАКВИС). Тема вебинара била је посвећена анализи каријерних путева дипломираних студената, уз представљање искустава и истраж</w:t>
      </w:r>
      <w:r>
        <w:rPr>
          <w:rFonts w:cstheme="minorHAnsi"/>
          <w:sz w:val="22"/>
          <w:szCs w:val="22"/>
        </w:rPr>
        <w:t>ивања из више европских земаља.</w:t>
      </w:r>
    </w:p>
    <w:p w:rsidR="002A099D" w:rsidRPr="001A4B0E" w:rsidRDefault="0001047B" w:rsidP="001A4B0E">
      <w:pPr>
        <w:spacing w:line="276" w:lineRule="auto"/>
        <w:jc w:val="both"/>
        <w:rPr>
          <w:rFonts w:ascii="Calibri" w:eastAsia="Calibri" w:hAnsi="Calibri" w:cs="Calibri"/>
          <w:color w:val="000000" w:themeColor="text1"/>
          <w:sz w:val="22"/>
          <w:szCs w:val="22"/>
          <w:lang w:val="sr-Cyrl-RS"/>
        </w:rPr>
      </w:pPr>
      <w:r w:rsidRPr="008464DC">
        <w:rPr>
          <w:rFonts w:cstheme="minorHAnsi"/>
          <w:sz w:val="22"/>
          <w:szCs w:val="22"/>
        </w:rPr>
        <w:t>У склопу континуираног професионалног усавршавања наставног особља, Филозофски факултет</w:t>
      </w:r>
      <w:r w:rsidR="00BF1161">
        <w:rPr>
          <w:rFonts w:cstheme="minorHAnsi"/>
          <w:sz w:val="22"/>
          <w:szCs w:val="22"/>
          <w:lang w:val="sr-Cyrl-RS"/>
        </w:rPr>
        <w:t xml:space="preserve"> Универзитета у Бањој Луци</w:t>
      </w:r>
      <w:r w:rsidRPr="008464DC">
        <w:rPr>
          <w:rFonts w:cstheme="minorHAnsi"/>
          <w:sz w:val="22"/>
          <w:szCs w:val="22"/>
        </w:rPr>
        <w:t xml:space="preserve"> и Центар за цјеложивотно учење организовали су у марту 2024. године </w:t>
      </w:r>
      <w:r>
        <w:rPr>
          <w:rFonts w:cstheme="minorHAnsi"/>
          <w:sz w:val="22"/>
          <w:szCs w:val="22"/>
          <w:lang w:val="sr-Cyrl-RS"/>
        </w:rPr>
        <w:t xml:space="preserve">радионицу на којој су представници Агенције одржали </w:t>
      </w:r>
      <w:r w:rsidR="006678CF">
        <w:rPr>
          <w:rFonts w:cstheme="minorHAnsi"/>
          <w:sz w:val="22"/>
          <w:szCs w:val="22"/>
        </w:rPr>
        <w:t xml:space="preserve">предавање на тему </w:t>
      </w:r>
      <w:r w:rsidRPr="006678CF">
        <w:rPr>
          <w:rFonts w:cstheme="minorHAnsi"/>
          <w:i/>
          <w:sz w:val="22"/>
          <w:szCs w:val="22"/>
        </w:rPr>
        <w:t>Самовредновање студијских програма</w:t>
      </w:r>
      <w:r>
        <w:rPr>
          <w:rFonts w:cstheme="minorHAnsi"/>
          <w:sz w:val="22"/>
          <w:szCs w:val="22"/>
          <w:lang w:val="sr-Cyrl-RS"/>
        </w:rPr>
        <w:t xml:space="preserve">. </w:t>
      </w:r>
      <w:r w:rsidRPr="008464DC">
        <w:rPr>
          <w:rFonts w:cstheme="minorHAnsi"/>
          <w:sz w:val="22"/>
          <w:szCs w:val="22"/>
        </w:rPr>
        <w:t>Излагање је дефинисало основне елементе процеса самовредновања студијских програма, као и структуру извјештаја о самовредновању, а било је ријечи и о начину на који се може радити ревизија и измјене студијског програма у складу са зако</w:t>
      </w:r>
      <w:r>
        <w:rPr>
          <w:rFonts w:cstheme="minorHAnsi"/>
          <w:sz w:val="22"/>
          <w:szCs w:val="22"/>
        </w:rPr>
        <w:t>нским и подзаконским прописима.</w:t>
      </w:r>
      <w:r w:rsidRPr="00237DAB">
        <w:rPr>
          <w:rFonts w:cstheme="minorHAnsi"/>
          <w:sz w:val="22"/>
          <w:szCs w:val="22"/>
        </w:rPr>
        <w:t xml:space="preserve"> </w:t>
      </w:r>
      <w:r>
        <w:rPr>
          <w:rFonts w:cstheme="minorHAnsi"/>
          <w:sz w:val="22"/>
          <w:szCs w:val="22"/>
          <w:lang w:val="sr-Cyrl-RS"/>
        </w:rPr>
        <w:t xml:space="preserve">У децембру 2024. године представници Агенције су на </w:t>
      </w:r>
      <w:r w:rsidRPr="001218D2">
        <w:rPr>
          <w:rFonts w:cstheme="minorHAnsi"/>
          <w:sz w:val="22"/>
          <w:szCs w:val="22"/>
        </w:rPr>
        <w:t xml:space="preserve">Филозофском факултету Универзитета у Бањој Луци </w:t>
      </w:r>
      <w:r>
        <w:rPr>
          <w:rFonts w:cstheme="minorHAnsi"/>
          <w:sz w:val="22"/>
          <w:szCs w:val="22"/>
          <w:lang w:val="sr-Cyrl-RS"/>
        </w:rPr>
        <w:t xml:space="preserve"> одржали </w:t>
      </w:r>
      <w:r w:rsidR="006678CF">
        <w:rPr>
          <w:rFonts w:cstheme="minorHAnsi"/>
          <w:sz w:val="22"/>
          <w:szCs w:val="22"/>
        </w:rPr>
        <w:t xml:space="preserve">предавање на тему </w:t>
      </w:r>
      <w:r w:rsidRPr="006678CF">
        <w:rPr>
          <w:rFonts w:cstheme="minorHAnsi"/>
          <w:i/>
          <w:sz w:val="22"/>
          <w:szCs w:val="22"/>
        </w:rPr>
        <w:t>Разумијевање ECT</w:t>
      </w:r>
      <w:r w:rsidR="006678CF" w:rsidRPr="006678CF">
        <w:rPr>
          <w:rFonts w:cstheme="minorHAnsi"/>
          <w:i/>
          <w:sz w:val="22"/>
          <w:szCs w:val="22"/>
        </w:rPr>
        <w:t>S бодова – од теорије до праксе</w:t>
      </w:r>
      <w:r w:rsidRPr="001218D2">
        <w:rPr>
          <w:rFonts w:cstheme="minorHAnsi"/>
          <w:sz w:val="22"/>
          <w:szCs w:val="22"/>
        </w:rPr>
        <w:t>.</w:t>
      </w:r>
      <w:r>
        <w:rPr>
          <w:rFonts w:cstheme="minorHAnsi"/>
          <w:sz w:val="22"/>
          <w:szCs w:val="22"/>
          <w:lang w:val="sr-Cyrl-RS"/>
        </w:rPr>
        <w:t xml:space="preserve"> </w:t>
      </w:r>
      <w:r w:rsidR="006678CF">
        <w:rPr>
          <w:rFonts w:cstheme="minorHAnsi"/>
          <w:sz w:val="22"/>
          <w:szCs w:val="22"/>
          <w:lang w:val="sr-Cyrl-RS"/>
        </w:rPr>
        <w:t>Д</w:t>
      </w:r>
      <w:r w:rsidRPr="001218D2">
        <w:rPr>
          <w:rFonts w:cstheme="minorHAnsi"/>
          <w:sz w:val="22"/>
          <w:szCs w:val="22"/>
        </w:rPr>
        <w:t xml:space="preserve">етаљно је објашњен значај ECTS система (Европског система преноса </w:t>
      </w:r>
      <w:r w:rsidRPr="008464DC">
        <w:rPr>
          <w:rFonts w:cstheme="minorHAnsi"/>
          <w:sz w:val="22"/>
          <w:szCs w:val="22"/>
        </w:rPr>
        <w:t>и акумулације бодова) као кључног инструмента за осигурање мобилности студената, транспарентности наставних програма и повезаности исхода учења са радним оптерећењем студената.</w:t>
      </w:r>
      <w:r w:rsidRPr="007276EB">
        <w:rPr>
          <w:rFonts w:ascii="Calibri" w:eastAsia="Calibri" w:hAnsi="Calibri" w:cs="Calibri"/>
          <w:color w:val="000000" w:themeColor="text1"/>
          <w:sz w:val="22"/>
          <w:szCs w:val="22"/>
          <w:lang w:val="sr-Cyrl-RS"/>
        </w:rPr>
        <w:t xml:space="preserve"> </w:t>
      </w:r>
    </w:p>
    <w:p w:rsidR="00D369FC" w:rsidRPr="000B1BFC" w:rsidRDefault="00D369FC" w:rsidP="000C3C72">
      <w:pPr>
        <w:pStyle w:val="a0"/>
        <w:numPr>
          <w:ilvl w:val="0"/>
          <w:numId w:val="0"/>
        </w:numPr>
        <w:tabs>
          <w:tab w:val="left" w:pos="851"/>
        </w:tabs>
        <w:rPr>
          <w:rFonts w:cstheme="minorHAnsi"/>
          <w:color w:val="323E4F" w:themeColor="text2" w:themeShade="BF"/>
          <w:sz w:val="22"/>
          <w:szCs w:val="22"/>
          <w:lang w:val="sr-Cyrl-BA"/>
        </w:rPr>
      </w:pPr>
    </w:p>
    <w:p w:rsidR="00A14DD1" w:rsidRPr="006678CF" w:rsidRDefault="00B33E96" w:rsidP="006678CF">
      <w:pPr>
        <w:pStyle w:val="a0"/>
        <w:numPr>
          <w:ilvl w:val="1"/>
          <w:numId w:val="8"/>
        </w:numPr>
        <w:tabs>
          <w:tab w:val="left" w:pos="851"/>
        </w:tabs>
        <w:rPr>
          <w:rFonts w:asciiTheme="minorHAnsi" w:hAnsiTheme="minorHAnsi" w:cstheme="minorHAnsi"/>
          <w:color w:val="FF0000"/>
        </w:rPr>
      </w:pPr>
      <w:r w:rsidRPr="006678CF">
        <w:rPr>
          <w:rFonts w:asciiTheme="minorHAnsi" w:hAnsiTheme="minorHAnsi" w:cstheme="minorHAnsi"/>
          <w:color w:val="323E4F" w:themeColor="text2" w:themeShade="BF"/>
          <w:lang w:val="sr-Cyrl-BA"/>
        </w:rPr>
        <w:t xml:space="preserve"> </w:t>
      </w:r>
      <w:bookmarkStart w:id="9" w:name="_Toc190682511"/>
      <w:r w:rsidR="00A14DD1" w:rsidRPr="006678CF">
        <w:rPr>
          <w:rFonts w:asciiTheme="minorHAnsi" w:hAnsiTheme="minorHAnsi" w:cstheme="minorHAnsi"/>
          <w:color w:val="323E4F" w:themeColor="text2" w:themeShade="BF"/>
          <w:lang w:val="sr-Cyrl-BA"/>
        </w:rPr>
        <w:t>П</w:t>
      </w:r>
      <w:r w:rsidR="00A14DD1" w:rsidRPr="006678CF">
        <w:rPr>
          <w:rFonts w:asciiTheme="minorHAnsi" w:hAnsiTheme="minorHAnsi" w:cstheme="minorHAnsi"/>
          <w:color w:val="323E4F" w:themeColor="text2" w:themeShade="BF"/>
        </w:rPr>
        <w:t>РИЗНАВАЊ</w:t>
      </w:r>
      <w:r w:rsidR="00A14DD1" w:rsidRPr="006678CF">
        <w:rPr>
          <w:rFonts w:asciiTheme="minorHAnsi" w:hAnsiTheme="minorHAnsi" w:cstheme="minorHAnsi"/>
          <w:color w:val="323E4F" w:themeColor="text2" w:themeShade="BF"/>
          <w:lang w:val="sr-Cyrl-BA"/>
        </w:rPr>
        <w:t>Е</w:t>
      </w:r>
      <w:r w:rsidR="00A14DD1" w:rsidRPr="006678CF">
        <w:rPr>
          <w:rFonts w:asciiTheme="minorHAnsi" w:hAnsiTheme="minorHAnsi" w:cstheme="minorHAnsi"/>
          <w:color w:val="323E4F" w:themeColor="text2" w:themeShade="BF"/>
        </w:rPr>
        <w:t xml:space="preserve"> СТРАНИХ ВИСОКОШКОЛСКИХ КВАЛИФИКАЦИЈА</w:t>
      </w:r>
      <w:bookmarkEnd w:id="9"/>
      <w:r w:rsidR="00C13664" w:rsidRPr="006678CF">
        <w:rPr>
          <w:rFonts w:asciiTheme="minorHAnsi" w:hAnsiTheme="minorHAnsi" w:cstheme="minorHAnsi"/>
          <w:color w:val="323E4F" w:themeColor="text2" w:themeShade="BF"/>
        </w:rPr>
        <w:t xml:space="preserve"> </w:t>
      </w:r>
    </w:p>
    <w:p w:rsidR="00A14DD1" w:rsidRDefault="00A14DD1" w:rsidP="001D4727">
      <w:pPr>
        <w:spacing w:line="276" w:lineRule="auto"/>
        <w:jc w:val="both"/>
        <w:rPr>
          <w:color w:val="323E4F" w:themeColor="text2" w:themeShade="BF"/>
          <w:lang w:val="sr-Cyrl-RS"/>
        </w:rPr>
      </w:pPr>
    </w:p>
    <w:p w:rsidR="00334619" w:rsidRPr="009E2CE8" w:rsidRDefault="00334619" w:rsidP="000C3C72">
      <w:pPr>
        <w:spacing w:after="240" w:line="276" w:lineRule="auto"/>
        <w:jc w:val="both"/>
        <w:rPr>
          <w:rFonts w:cstheme="minorHAnsi"/>
          <w:sz w:val="22"/>
          <w:szCs w:val="22"/>
          <w:lang w:val="sr-Cyrl-RS"/>
        </w:rPr>
      </w:pPr>
      <w:r w:rsidRPr="009E2CE8">
        <w:rPr>
          <w:rFonts w:cstheme="minorHAnsi"/>
          <w:sz w:val="22"/>
          <w:szCs w:val="22"/>
          <w:lang w:val="sr-Cyrl-RS"/>
        </w:rPr>
        <w:t>У 2024. години запримљено је 227 захтјева за признавање страних високошколских квалификација што представља повећање од 52% у односу на 2023. годину.  Издато је 20</w:t>
      </w:r>
      <w:r w:rsidR="003221B0" w:rsidRPr="009E2CE8">
        <w:rPr>
          <w:rFonts w:cstheme="minorHAnsi"/>
          <w:sz w:val="22"/>
          <w:szCs w:val="22"/>
          <w:lang w:val="sr-Cyrl-RS"/>
        </w:rPr>
        <w:t>0</w:t>
      </w:r>
      <w:r w:rsidRPr="009E2CE8">
        <w:rPr>
          <w:rFonts w:cstheme="minorHAnsi"/>
          <w:sz w:val="22"/>
          <w:szCs w:val="22"/>
          <w:lang w:val="sr-Cyrl-RS"/>
        </w:rPr>
        <w:t xml:space="preserve"> рјешења</w:t>
      </w:r>
      <w:r w:rsidR="003221B0" w:rsidRPr="009E2CE8">
        <w:rPr>
          <w:rFonts w:cstheme="minorHAnsi"/>
          <w:sz w:val="22"/>
          <w:szCs w:val="22"/>
          <w:lang w:val="sr-Cyrl-RS"/>
        </w:rPr>
        <w:t xml:space="preserve"> о признавању стране високошколске квалификације и</w:t>
      </w:r>
      <w:r w:rsidRPr="009E2CE8">
        <w:rPr>
          <w:rFonts w:cstheme="minorHAnsi"/>
          <w:sz w:val="22"/>
          <w:szCs w:val="22"/>
          <w:lang w:val="sr-Cyrl-RS"/>
        </w:rPr>
        <w:t xml:space="preserve"> шест </w:t>
      </w:r>
      <w:r w:rsidR="003221B0" w:rsidRPr="009E2CE8">
        <w:rPr>
          <w:rFonts w:cstheme="minorHAnsi"/>
          <w:sz w:val="22"/>
          <w:szCs w:val="22"/>
          <w:lang w:val="sr-Cyrl-RS"/>
        </w:rPr>
        <w:t>рјешења о одбијању</w:t>
      </w:r>
      <w:r w:rsidRPr="009E2CE8">
        <w:rPr>
          <w:rFonts w:cstheme="minorHAnsi"/>
          <w:sz w:val="22"/>
          <w:szCs w:val="22"/>
          <w:lang w:val="sr-Cyrl-RS"/>
        </w:rPr>
        <w:t xml:space="preserve"> захтјевa за признавање. </w:t>
      </w:r>
      <w:r w:rsidR="003221B0" w:rsidRPr="009E2CE8">
        <w:rPr>
          <w:rFonts w:cstheme="minorHAnsi"/>
          <w:sz w:val="22"/>
          <w:szCs w:val="22"/>
          <w:lang w:val="sr-Cyrl-RS"/>
        </w:rPr>
        <w:t>Одбијање захтјева за признавање се најчешће односи на квалификације за које се у потупку прознавања утврди да</w:t>
      </w:r>
      <w:r w:rsidRPr="009E2CE8">
        <w:rPr>
          <w:rFonts w:cstheme="minorHAnsi"/>
          <w:sz w:val="22"/>
          <w:szCs w:val="22"/>
          <w:lang w:val="sr-Cyrl-RS"/>
        </w:rPr>
        <w:t xml:space="preserve"> не представља</w:t>
      </w:r>
      <w:r w:rsidR="003221B0" w:rsidRPr="009E2CE8">
        <w:rPr>
          <w:rFonts w:cstheme="minorHAnsi"/>
          <w:sz w:val="22"/>
          <w:szCs w:val="22"/>
          <w:lang w:val="sr-Cyrl-RS"/>
        </w:rPr>
        <w:t>ју</w:t>
      </w:r>
      <w:r w:rsidRPr="009E2CE8">
        <w:rPr>
          <w:rFonts w:cstheme="minorHAnsi"/>
          <w:sz w:val="22"/>
          <w:szCs w:val="22"/>
          <w:lang w:val="sr-Cyrl-RS"/>
        </w:rPr>
        <w:t xml:space="preserve"> високошколску квалификцију већ различите облике стручног усавршавања</w:t>
      </w:r>
      <w:r w:rsidR="003221B0" w:rsidRPr="009E2CE8">
        <w:rPr>
          <w:rFonts w:cstheme="minorHAnsi"/>
          <w:sz w:val="22"/>
          <w:szCs w:val="22"/>
          <w:lang w:val="sr-Cyrl-RS"/>
        </w:rPr>
        <w:t>,</w:t>
      </w:r>
      <w:r w:rsidRPr="009E2CE8">
        <w:rPr>
          <w:rFonts w:cstheme="minorHAnsi"/>
          <w:sz w:val="22"/>
          <w:szCs w:val="22"/>
          <w:lang w:val="sr-Cyrl-RS"/>
        </w:rPr>
        <w:t xml:space="preserve"> </w:t>
      </w:r>
      <w:r w:rsidR="003221B0" w:rsidRPr="009E2CE8">
        <w:rPr>
          <w:rFonts w:cstheme="minorHAnsi"/>
          <w:sz w:val="22"/>
          <w:szCs w:val="22"/>
          <w:lang w:val="sr-Cyrl-RS"/>
        </w:rPr>
        <w:t xml:space="preserve">затим на </w:t>
      </w:r>
      <w:r w:rsidRPr="009E2CE8">
        <w:rPr>
          <w:rFonts w:cstheme="minorHAnsi"/>
          <w:sz w:val="22"/>
          <w:szCs w:val="22"/>
          <w:lang w:val="sr-Cyrl-RS"/>
        </w:rPr>
        <w:t>немогућност прибављања информација о вјеродостојно</w:t>
      </w:r>
      <w:r w:rsidR="003221B0" w:rsidRPr="009E2CE8">
        <w:rPr>
          <w:rFonts w:cstheme="minorHAnsi"/>
          <w:sz w:val="22"/>
          <w:szCs w:val="22"/>
          <w:lang w:val="sr-Cyrl-RS"/>
        </w:rPr>
        <w:t xml:space="preserve">сти високошколске квалификације или због статуса акредитације високошколске установе/студијског програма. </w:t>
      </w:r>
      <w:r w:rsidRPr="009E2CE8">
        <w:rPr>
          <w:rFonts w:cstheme="minorHAnsi"/>
          <w:sz w:val="22"/>
          <w:szCs w:val="22"/>
          <w:lang w:val="sr-Cyrl-RS"/>
        </w:rPr>
        <w:t xml:space="preserve"> Такође, издато је седам привремених рјешења о признавању</w:t>
      </w:r>
      <w:r w:rsidR="003221B0" w:rsidRPr="009E2CE8">
        <w:rPr>
          <w:rFonts w:cstheme="minorHAnsi"/>
          <w:sz w:val="22"/>
          <w:szCs w:val="22"/>
          <w:lang w:val="sr-Cyrl-RS"/>
        </w:rPr>
        <w:t>, као</w:t>
      </w:r>
      <w:r w:rsidRPr="009E2CE8">
        <w:rPr>
          <w:rFonts w:cstheme="minorHAnsi"/>
          <w:sz w:val="22"/>
          <w:szCs w:val="22"/>
          <w:lang w:val="sr-Cyrl-RS"/>
        </w:rPr>
        <w:t xml:space="preserve"> и три закључка о обустави поступка, на захтјев странке. </w:t>
      </w:r>
    </w:p>
    <w:p w:rsidR="00733D2A" w:rsidRPr="00733D2A" w:rsidRDefault="00334619" w:rsidP="00733D2A">
      <w:pPr>
        <w:tabs>
          <w:tab w:val="left" w:pos="900"/>
        </w:tabs>
        <w:spacing w:line="276" w:lineRule="auto"/>
        <w:jc w:val="both"/>
        <w:rPr>
          <w:rFonts w:cstheme="minorHAnsi"/>
          <w:sz w:val="22"/>
          <w:szCs w:val="22"/>
          <w:lang w:val="sr-Cyrl-RS"/>
        </w:rPr>
      </w:pPr>
      <w:r w:rsidRPr="00733D2A">
        <w:rPr>
          <w:rFonts w:cstheme="minorHAnsi"/>
          <w:sz w:val="22"/>
          <w:szCs w:val="22"/>
          <w:lang w:val="sr-Cyrl-RS"/>
        </w:rPr>
        <w:t>У Табели 2 представљен је пресјек броја захтјева за признавање страних високошколских квалификација и издатих рјешења према државама (укупно 31 држава). Највећи број захтјева – 42,29%, се односио на високошколске квалификације стечене у Србији, затим у Сједињеним Америчким  Др</w:t>
      </w:r>
      <w:r w:rsidR="003221B0" w:rsidRPr="00733D2A">
        <w:rPr>
          <w:rFonts w:cstheme="minorHAnsi"/>
          <w:sz w:val="22"/>
          <w:szCs w:val="22"/>
          <w:lang w:val="sr-Cyrl-RS"/>
        </w:rPr>
        <w:t>жавама – 7,</w:t>
      </w:r>
      <w:r w:rsidRPr="00733D2A">
        <w:rPr>
          <w:rFonts w:cstheme="minorHAnsi"/>
          <w:sz w:val="22"/>
          <w:szCs w:val="22"/>
          <w:lang w:val="sr-Cyrl-RS"/>
        </w:rPr>
        <w:t xml:space="preserve">48%, </w:t>
      </w:r>
      <w:r w:rsidR="006678CF" w:rsidRPr="00733D2A">
        <w:rPr>
          <w:rFonts w:cstheme="minorHAnsi"/>
          <w:sz w:val="22"/>
          <w:szCs w:val="22"/>
          <w:lang w:val="sr-Cyrl-RS"/>
        </w:rPr>
        <w:t xml:space="preserve">те </w:t>
      </w:r>
      <w:r w:rsidRPr="00733D2A">
        <w:rPr>
          <w:rFonts w:cstheme="minorHAnsi"/>
          <w:sz w:val="22"/>
          <w:szCs w:val="22"/>
          <w:lang w:val="sr-Cyrl-RS"/>
        </w:rPr>
        <w:t>Руској Фе</w:t>
      </w:r>
      <w:r w:rsidR="000C3C72" w:rsidRPr="00733D2A">
        <w:rPr>
          <w:rFonts w:cstheme="minorHAnsi"/>
          <w:sz w:val="22"/>
          <w:szCs w:val="22"/>
          <w:lang w:val="sr-Cyrl-RS"/>
        </w:rPr>
        <w:t xml:space="preserve">дерацији и Хрватској -  6,60%. </w:t>
      </w:r>
      <w:r w:rsidR="00733D2A" w:rsidRPr="00733D2A">
        <w:rPr>
          <w:rFonts w:cstheme="minorHAnsi"/>
          <w:sz w:val="22"/>
          <w:szCs w:val="22"/>
          <w:lang w:val="sr-Cyrl-RS"/>
        </w:rPr>
        <w:t xml:space="preserve"> Важно је напоменути да се на основу Споразума о узајамном признавању докумената у образовању и регулисању статусних питања ученика и студената</w:t>
      </w:r>
      <w:r w:rsidR="00733D2A">
        <w:rPr>
          <w:rFonts w:cstheme="minorHAnsi"/>
          <w:sz w:val="22"/>
          <w:szCs w:val="22"/>
          <w:lang w:val="sr-Cyrl-RS"/>
        </w:rPr>
        <w:t>,</w:t>
      </w:r>
      <w:r w:rsidR="00733D2A" w:rsidRPr="00733D2A">
        <w:rPr>
          <w:sz w:val="22"/>
          <w:szCs w:val="22"/>
          <w:vertAlign w:val="superscript"/>
          <w:lang w:val="sr-Cyrl-RS"/>
        </w:rPr>
        <w:footnoteReference w:id="23"/>
      </w:r>
      <w:r w:rsidR="00733D2A" w:rsidRPr="00733D2A">
        <w:rPr>
          <w:rFonts w:cstheme="minorHAnsi"/>
          <w:sz w:val="22"/>
          <w:szCs w:val="22"/>
          <w:lang w:val="sr-Cyrl-RS"/>
        </w:rPr>
        <w:t xml:space="preserve">  поступак признавања не спроводи за квалификације стечене на акредитованим високошколским установама у Републици Србији, али је чланом 51. став 4. Закона о Агенцији за високо образовање Републике Српске прописано да се изузетно, на захтјев имаоца квалификације, може спровести поступак признавања</w:t>
      </w:r>
      <w:r w:rsidR="00733D2A">
        <w:rPr>
          <w:rFonts w:cstheme="minorHAnsi"/>
          <w:sz w:val="22"/>
          <w:szCs w:val="22"/>
          <w:lang w:val="sr-Cyrl-RS"/>
        </w:rPr>
        <w:t xml:space="preserve"> и</w:t>
      </w:r>
      <w:r w:rsidR="00733D2A" w:rsidRPr="00733D2A">
        <w:rPr>
          <w:rFonts w:cstheme="minorHAnsi"/>
          <w:sz w:val="22"/>
          <w:szCs w:val="22"/>
          <w:lang w:val="sr-Cyrl-RS"/>
        </w:rPr>
        <w:t xml:space="preserve"> </w:t>
      </w:r>
      <w:r w:rsidR="00733D2A">
        <w:rPr>
          <w:rFonts w:cstheme="minorHAnsi"/>
          <w:sz w:val="22"/>
          <w:szCs w:val="22"/>
          <w:lang w:val="sr-Cyrl-RS"/>
        </w:rPr>
        <w:t xml:space="preserve">за </w:t>
      </w:r>
      <w:r w:rsidR="00733D2A" w:rsidRPr="00733D2A">
        <w:rPr>
          <w:rFonts w:cstheme="minorHAnsi"/>
          <w:sz w:val="22"/>
          <w:szCs w:val="22"/>
          <w:lang w:val="sr-Cyrl-RS"/>
        </w:rPr>
        <w:t>високошколске квалификације стечене у Републици Србији у сврху општег приступа тржишту рада</w:t>
      </w:r>
      <w:r w:rsidR="00733D2A">
        <w:rPr>
          <w:rFonts w:cstheme="minorHAnsi"/>
          <w:sz w:val="22"/>
          <w:szCs w:val="22"/>
          <w:lang w:val="sr-Cyrl-RS"/>
        </w:rPr>
        <w:t xml:space="preserve"> (ради запошљавања у Федерацији БиХ и у институцијама БиХ). </w:t>
      </w:r>
      <w:r w:rsidR="00733D2A" w:rsidRPr="00733D2A">
        <w:rPr>
          <w:rFonts w:cstheme="minorHAnsi"/>
          <w:sz w:val="22"/>
          <w:szCs w:val="22"/>
          <w:lang w:val="sr-Cyrl-RS"/>
        </w:rPr>
        <w:t xml:space="preserve"> </w:t>
      </w:r>
    </w:p>
    <w:p w:rsidR="0094580A" w:rsidRPr="000C3C72" w:rsidRDefault="007A00A3" w:rsidP="007A00A3">
      <w:pPr>
        <w:rPr>
          <w:rFonts w:cstheme="minorHAnsi"/>
          <w:sz w:val="22"/>
          <w:szCs w:val="22"/>
          <w:lang w:val="sr-Cyrl-RS"/>
        </w:rPr>
      </w:pPr>
      <w:r>
        <w:rPr>
          <w:rFonts w:cstheme="minorHAnsi"/>
          <w:sz w:val="22"/>
          <w:szCs w:val="22"/>
          <w:lang w:val="sr-Cyrl-RS"/>
        </w:rPr>
        <w:br w:type="page"/>
      </w:r>
    </w:p>
    <w:tbl>
      <w:tblPr>
        <w:tblStyle w:val="ListTable4-Accent51"/>
        <w:tblW w:w="0" w:type="auto"/>
        <w:jc w:val="center"/>
        <w:tblLook w:val="04A0" w:firstRow="1" w:lastRow="0" w:firstColumn="1" w:lastColumn="0" w:noHBand="0" w:noVBand="1"/>
      </w:tblPr>
      <w:tblGrid>
        <w:gridCol w:w="2531"/>
        <w:gridCol w:w="2083"/>
        <w:gridCol w:w="2264"/>
      </w:tblGrid>
      <w:tr w:rsidR="00334619" w:rsidRPr="00FE225C" w:rsidTr="0094580A">
        <w:trPr>
          <w:cnfStyle w:val="100000000000" w:firstRow="1" w:lastRow="0" w:firstColumn="0" w:lastColumn="0" w:oddVBand="0" w:evenVBand="0" w:oddHBand="0"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jc w:val="center"/>
              <w:rPr>
                <w:rFonts w:eastAsia="Calibri" w:cs="Calibri"/>
              </w:rPr>
            </w:pPr>
            <w:r w:rsidRPr="00DE6748">
              <w:rPr>
                <w:rFonts w:eastAsia="Calibri" w:cs="Calibri"/>
              </w:rPr>
              <w:t>ДРЖАВА</w:t>
            </w:r>
          </w:p>
        </w:tc>
        <w:tc>
          <w:tcPr>
            <w:tcW w:w="2083" w:type="dxa"/>
            <w:vAlign w:val="center"/>
          </w:tcPr>
          <w:p w:rsidR="00334619" w:rsidRPr="00DE6748" w:rsidRDefault="00334619" w:rsidP="0094580A">
            <w:pPr>
              <w:spacing w:line="259" w:lineRule="auto"/>
              <w:jc w:val="center"/>
              <w:cnfStyle w:val="100000000000" w:firstRow="1" w:lastRow="0" w:firstColumn="0" w:lastColumn="0" w:oddVBand="0" w:evenVBand="0" w:oddHBand="0" w:evenHBand="0" w:firstRowFirstColumn="0" w:firstRowLastColumn="0" w:lastRowFirstColumn="0" w:lastRowLastColumn="0"/>
              <w:rPr>
                <w:rFonts w:eastAsia="Calibri" w:cs="Calibri"/>
              </w:rPr>
            </w:pPr>
            <w:r w:rsidRPr="00DE6748">
              <w:rPr>
                <w:rFonts w:eastAsia="Calibri" w:cs="Calibri"/>
              </w:rPr>
              <w:t>БРОЈ ЗАХТЈЕВА</w:t>
            </w:r>
          </w:p>
        </w:tc>
        <w:tc>
          <w:tcPr>
            <w:tcW w:w="2264" w:type="dxa"/>
            <w:vAlign w:val="center"/>
          </w:tcPr>
          <w:p w:rsidR="00334619" w:rsidRPr="00DE6748" w:rsidRDefault="00334619" w:rsidP="0094580A">
            <w:pPr>
              <w:spacing w:line="259" w:lineRule="auto"/>
              <w:jc w:val="center"/>
              <w:cnfStyle w:val="100000000000" w:firstRow="1" w:lastRow="0" w:firstColumn="0" w:lastColumn="0" w:oddVBand="0" w:evenVBand="0" w:oddHBand="0" w:evenHBand="0" w:firstRowFirstColumn="0" w:firstRowLastColumn="0" w:lastRowFirstColumn="0" w:lastRowLastColumn="0"/>
              <w:rPr>
                <w:rFonts w:eastAsia="Calibri" w:cs="Calibri"/>
              </w:rPr>
            </w:pPr>
            <w:r w:rsidRPr="00DE6748">
              <w:rPr>
                <w:rFonts w:eastAsia="Calibri" w:cs="Calibri"/>
              </w:rPr>
              <w:t>БРОЈ РЈЕШЕЊА</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346"/>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Аустралија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3</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3</w:t>
            </w:r>
          </w:p>
        </w:tc>
      </w:tr>
      <w:tr w:rsidR="00334619" w:rsidRPr="00FE225C" w:rsidTr="0094580A">
        <w:trPr>
          <w:trHeight w:val="348"/>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Аустрија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7</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7</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10"/>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Црна Гора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13</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13</w:t>
            </w:r>
          </w:p>
        </w:tc>
      </w:tr>
      <w:tr w:rsidR="00334619" w:rsidRPr="00FE225C" w:rsidTr="0094580A">
        <w:trPr>
          <w:trHeight w:val="398"/>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Чешка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rPr>
            </w:pPr>
            <w:r w:rsidRPr="00DE6748">
              <w:rPr>
                <w:rFonts w:eastAsia="Calibri" w:cs="Calibri"/>
              </w:rPr>
              <w:t>1</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31"/>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Француска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2</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2</w:t>
            </w:r>
          </w:p>
        </w:tc>
      </w:tr>
      <w:tr w:rsidR="00334619" w:rsidRPr="00FE225C" w:rsidTr="0094580A">
        <w:trPr>
          <w:trHeight w:val="409"/>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Хрватска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15</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11</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Италија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6</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5</w:t>
            </w:r>
          </w:p>
        </w:tc>
      </w:tr>
      <w:tr w:rsidR="00334619" w:rsidRPr="00FE225C" w:rsidTr="0094580A">
        <w:trPr>
          <w:trHeight w:val="408"/>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Јемен</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Канада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6</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6</w:t>
            </w:r>
          </w:p>
        </w:tc>
      </w:tr>
      <w:tr w:rsidR="00334619" w:rsidRPr="00FE225C" w:rsidTr="0094580A">
        <w:trPr>
          <w:trHeight w:val="438"/>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Руска Федерација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15</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14</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САД</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17</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15</w:t>
            </w:r>
          </w:p>
        </w:tc>
      </w:tr>
      <w:tr w:rsidR="00334619" w:rsidRPr="00FE225C" w:rsidTr="0094580A">
        <w:trPr>
          <w:trHeight w:val="420"/>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Сјеверна Македонија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2</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2</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399"/>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Словенија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11</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10</w:t>
            </w:r>
          </w:p>
        </w:tc>
      </w:tr>
      <w:tr w:rsidR="00334619" w:rsidRPr="00FE225C" w:rsidTr="0094580A">
        <w:trPr>
          <w:trHeight w:val="420"/>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Србија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96</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90</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Филипини</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94580A">
        <w:trPr>
          <w:trHeight w:val="403"/>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Шведска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24"/>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Швајцарска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94580A">
        <w:trPr>
          <w:trHeight w:val="402"/>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Турска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3</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3</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21"/>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Уједињено Краљевство</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6</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6</w:t>
            </w:r>
          </w:p>
        </w:tc>
      </w:tr>
      <w:tr w:rsidR="00334619" w:rsidRPr="00FE225C" w:rsidTr="0094580A">
        <w:trPr>
          <w:trHeight w:val="414"/>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Пољска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2</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2</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21"/>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Белгија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334619">
        <w:trPr>
          <w:trHeight w:val="359"/>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Грчка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0</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Бјелорусија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334619">
        <w:trPr>
          <w:trHeight w:val="359"/>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Бугарска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33461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Кина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334619">
        <w:trPr>
          <w:trHeight w:val="359"/>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Мађарска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Низоземска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94580A">
        <w:trPr>
          <w:trHeight w:val="431"/>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Њемачка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6</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4</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24"/>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Португал</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94580A">
        <w:trPr>
          <w:trHeight w:val="402"/>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Сирија</w:t>
            </w:r>
          </w:p>
        </w:tc>
        <w:tc>
          <w:tcPr>
            <w:tcW w:w="2083"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c>
          <w:tcPr>
            <w:tcW w:w="2264" w:type="dxa"/>
            <w:vAlign w:val="center"/>
          </w:tcPr>
          <w:p w:rsidR="00334619" w:rsidRPr="00DE6748" w:rsidRDefault="00334619" w:rsidP="0094580A">
            <w:pPr>
              <w:spacing w:line="259" w:lineRule="auto"/>
              <w:jc w:val="center"/>
              <w:cnfStyle w:val="000000000000" w:firstRow="0" w:lastRow="0" w:firstColumn="0" w:lastColumn="0" w:oddVBand="0" w:evenVBand="0" w:oddHBand="0" w:evenHBand="0" w:firstRowFirstColumn="0" w:firstRowLastColumn="0" w:lastRowFirstColumn="0" w:lastRowLastColumn="0"/>
              <w:rPr>
                <w:rFonts w:eastAsia="Calibri" w:cs="Calibri"/>
                <w:lang w:val="sr-Cyrl-RS"/>
              </w:rPr>
            </w:pPr>
            <w:r w:rsidRPr="00DE6748">
              <w:rPr>
                <w:rFonts w:eastAsia="Calibri" w:cs="Calibri"/>
                <w:lang w:val="sr-Cyrl-RS"/>
              </w:rPr>
              <w:t>1</w:t>
            </w:r>
          </w:p>
        </w:tc>
      </w:tr>
      <w:tr w:rsidR="00334619" w:rsidRPr="00FE225C" w:rsidTr="0094580A">
        <w:trPr>
          <w:cnfStyle w:val="000000100000" w:firstRow="0" w:lastRow="0" w:firstColumn="0" w:lastColumn="0" w:oddVBand="0" w:evenVBand="0" w:oddHBand="1" w:evenHBand="0" w:firstRowFirstColumn="0" w:firstRowLastColumn="0" w:lastRowFirstColumn="0" w:lastRowLastColumn="0"/>
          <w:trHeight w:val="421"/>
          <w:jc w:val="center"/>
        </w:trPr>
        <w:tc>
          <w:tcPr>
            <w:cnfStyle w:val="001000000000" w:firstRow="0" w:lastRow="0" w:firstColumn="1" w:lastColumn="0" w:oddVBand="0" w:evenVBand="0" w:oddHBand="0" w:evenHBand="0" w:firstRowFirstColumn="0" w:firstRowLastColumn="0" w:lastRowFirstColumn="0" w:lastRowLastColumn="0"/>
            <w:tcW w:w="2531" w:type="dxa"/>
            <w:vAlign w:val="center"/>
          </w:tcPr>
          <w:p w:rsidR="00334619" w:rsidRPr="00DE6748" w:rsidRDefault="00334619" w:rsidP="0094580A">
            <w:pPr>
              <w:spacing w:line="259" w:lineRule="auto"/>
              <w:rPr>
                <w:rFonts w:eastAsia="Calibri" w:cs="Calibri"/>
                <w:lang w:val="sr-Cyrl-RS"/>
              </w:rPr>
            </w:pPr>
            <w:r w:rsidRPr="00DE6748">
              <w:rPr>
                <w:rFonts w:eastAsia="Calibri" w:cs="Calibri"/>
                <w:lang w:val="sr-Cyrl-RS"/>
              </w:rPr>
              <w:t>Словачка</w:t>
            </w:r>
          </w:p>
        </w:tc>
        <w:tc>
          <w:tcPr>
            <w:tcW w:w="2083"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2</w:t>
            </w:r>
          </w:p>
        </w:tc>
        <w:tc>
          <w:tcPr>
            <w:tcW w:w="2264" w:type="dxa"/>
            <w:vAlign w:val="center"/>
          </w:tcPr>
          <w:p w:rsidR="00334619" w:rsidRPr="00DE6748" w:rsidRDefault="00334619" w:rsidP="0094580A">
            <w:pPr>
              <w:spacing w:line="259" w:lineRule="auto"/>
              <w:jc w:val="center"/>
              <w:cnfStyle w:val="000000100000" w:firstRow="0" w:lastRow="0" w:firstColumn="0" w:lastColumn="0" w:oddVBand="0" w:evenVBand="0" w:oddHBand="1" w:evenHBand="0" w:firstRowFirstColumn="0" w:firstRowLastColumn="0" w:lastRowFirstColumn="0" w:lastRowLastColumn="0"/>
              <w:rPr>
                <w:rFonts w:eastAsia="Calibri" w:cs="Calibri"/>
                <w:lang w:val="sr-Cyrl-RS"/>
              </w:rPr>
            </w:pPr>
            <w:r w:rsidRPr="00DE6748">
              <w:rPr>
                <w:rFonts w:eastAsia="Calibri" w:cs="Calibri"/>
                <w:lang w:val="sr-Cyrl-RS"/>
              </w:rPr>
              <w:t>2</w:t>
            </w:r>
          </w:p>
        </w:tc>
      </w:tr>
    </w:tbl>
    <w:p w:rsidR="00334619" w:rsidRPr="0094580A" w:rsidRDefault="00334619" w:rsidP="00334619">
      <w:pPr>
        <w:spacing w:before="240"/>
        <w:jc w:val="center"/>
        <w:rPr>
          <w:rFonts w:eastAsia="Calibri" w:cs="Calibri"/>
          <w:b/>
          <w:color w:val="323E4F"/>
          <w:sz w:val="22"/>
          <w:szCs w:val="22"/>
          <w:lang w:val="sr-Cyrl-BA"/>
        </w:rPr>
      </w:pPr>
      <w:r w:rsidRPr="0094580A">
        <w:rPr>
          <w:rFonts w:eastAsia="Calibri" w:cs="Calibri"/>
          <w:b/>
          <w:color w:val="323E4F"/>
          <w:sz w:val="22"/>
          <w:szCs w:val="22"/>
          <w:lang w:val="sr-Cyrl-BA"/>
        </w:rPr>
        <w:t>Табела 2. Преглед захтјева за признавање страних високошколских</w:t>
      </w:r>
    </w:p>
    <w:p w:rsidR="00334619" w:rsidRPr="0094580A" w:rsidRDefault="00334619" w:rsidP="00334619">
      <w:pPr>
        <w:jc w:val="center"/>
        <w:rPr>
          <w:rFonts w:eastAsia="Calibri" w:cs="Calibri"/>
          <w:b/>
          <w:color w:val="323E4F"/>
          <w:sz w:val="22"/>
          <w:szCs w:val="22"/>
          <w:lang w:val="sr-Cyrl-RS"/>
        </w:rPr>
      </w:pPr>
      <w:r w:rsidRPr="0094580A">
        <w:rPr>
          <w:rFonts w:eastAsia="Calibri" w:cs="Calibri"/>
          <w:b/>
          <w:color w:val="323E4F"/>
          <w:sz w:val="22"/>
          <w:szCs w:val="22"/>
          <w:lang w:val="sr-Cyrl-BA"/>
        </w:rPr>
        <w:t xml:space="preserve">квалификација и издатих рјешења </w:t>
      </w:r>
    </w:p>
    <w:p w:rsidR="00BF1161" w:rsidRDefault="00BF1161" w:rsidP="00334619">
      <w:pPr>
        <w:spacing w:line="276" w:lineRule="auto"/>
        <w:jc w:val="both"/>
        <w:rPr>
          <w:rFonts w:ascii="Calibri" w:eastAsia="Calibri" w:hAnsi="Calibri" w:cs="Calibri"/>
          <w:sz w:val="22"/>
          <w:szCs w:val="22"/>
          <w:lang w:val="sr-Cyrl-BA"/>
        </w:rPr>
      </w:pPr>
    </w:p>
    <w:p w:rsidR="00334619" w:rsidRPr="009E2CE8" w:rsidRDefault="00BF1161" w:rsidP="00334619">
      <w:pPr>
        <w:spacing w:line="276" w:lineRule="auto"/>
        <w:jc w:val="both"/>
        <w:rPr>
          <w:rFonts w:ascii="Calibri" w:eastAsia="Calibri" w:hAnsi="Calibri" w:cs="Calibri"/>
          <w:sz w:val="22"/>
          <w:szCs w:val="22"/>
          <w:lang w:val="sr-Cyrl-BA"/>
        </w:rPr>
      </w:pPr>
      <w:r>
        <w:rPr>
          <w:rFonts w:ascii="Calibri" w:eastAsia="Calibri" w:hAnsi="Calibri" w:cs="Calibri"/>
          <w:sz w:val="22"/>
          <w:szCs w:val="22"/>
          <w:lang w:val="sr-Cyrl-BA"/>
        </w:rPr>
        <w:t>Представнци</w:t>
      </w:r>
      <w:r w:rsidR="00334619" w:rsidRPr="009E2CE8">
        <w:rPr>
          <w:rFonts w:ascii="Calibri" w:eastAsia="Calibri" w:hAnsi="Calibri" w:cs="Calibri"/>
          <w:sz w:val="22"/>
          <w:szCs w:val="22"/>
          <w:lang w:val="sr-Cyrl-BA"/>
        </w:rPr>
        <w:t xml:space="preserve"> Агенције учествова</w:t>
      </w:r>
      <w:r>
        <w:rPr>
          <w:rFonts w:ascii="Calibri" w:eastAsia="Calibri" w:hAnsi="Calibri" w:cs="Calibri"/>
          <w:sz w:val="22"/>
          <w:szCs w:val="22"/>
          <w:lang w:val="sr-Cyrl-BA"/>
        </w:rPr>
        <w:t xml:space="preserve">ли су </w:t>
      </w:r>
      <w:r w:rsidR="00334619" w:rsidRPr="009E2CE8">
        <w:rPr>
          <w:rFonts w:ascii="Calibri" w:eastAsia="Calibri" w:hAnsi="Calibri" w:cs="Calibri"/>
          <w:sz w:val="22"/>
          <w:szCs w:val="22"/>
          <w:lang w:val="sr-Cyrl-BA"/>
        </w:rPr>
        <w:t xml:space="preserve">у новембру 2024. године  у завршној конференцији </w:t>
      </w:r>
      <w:r w:rsidR="00334619" w:rsidRPr="006678CF">
        <w:rPr>
          <w:rFonts w:ascii="Calibri" w:eastAsia="Calibri" w:hAnsi="Calibri" w:cs="Calibri"/>
          <w:i/>
          <w:sz w:val="22"/>
          <w:szCs w:val="22"/>
          <w:lang w:val="sr-Cyrl-BA"/>
        </w:rPr>
        <w:t>MOQAR пројекта - Мапирање квалификација високог образовања у сврху аутоматског признавања у регији</w:t>
      </w:r>
      <w:r w:rsidR="006678CF">
        <w:rPr>
          <w:rFonts w:ascii="Calibri" w:eastAsia="Calibri" w:hAnsi="Calibri" w:cs="Calibri"/>
          <w:sz w:val="22"/>
          <w:szCs w:val="22"/>
          <w:lang w:val="sr-Cyrl-BA"/>
        </w:rPr>
        <w:t xml:space="preserve">, </w:t>
      </w:r>
      <w:r w:rsidR="00334619" w:rsidRPr="009E2CE8">
        <w:rPr>
          <w:rFonts w:ascii="Calibri" w:eastAsia="Calibri" w:hAnsi="Calibri" w:cs="Calibri"/>
          <w:sz w:val="22"/>
          <w:szCs w:val="22"/>
          <w:lang w:val="sr-Cyrl-BA"/>
        </w:rPr>
        <w:t xml:space="preserve">организованог од стране Центра за информисање и признавање докумената из области високог образовања (ЦИП).  </w:t>
      </w:r>
    </w:p>
    <w:p w:rsidR="00334619" w:rsidRPr="006678CF" w:rsidRDefault="006678CF" w:rsidP="006678CF">
      <w:pPr>
        <w:spacing w:after="240" w:line="276" w:lineRule="auto"/>
        <w:jc w:val="both"/>
        <w:rPr>
          <w:rFonts w:ascii="Calibri" w:eastAsia="Calibri" w:hAnsi="Calibri" w:cs="Calibri"/>
          <w:sz w:val="22"/>
          <w:szCs w:val="22"/>
          <w:lang w:val="sr-Cyrl-BA"/>
        </w:rPr>
      </w:pPr>
      <w:r>
        <w:rPr>
          <w:rFonts w:ascii="Calibri" w:eastAsia="Calibri" w:hAnsi="Calibri" w:cs="Calibri"/>
          <w:sz w:val="22"/>
          <w:szCs w:val="22"/>
          <w:lang w:val="sr-Cyrl-BA"/>
        </w:rPr>
        <w:t xml:space="preserve">  </w:t>
      </w:r>
    </w:p>
    <w:p w:rsidR="00C7279F" w:rsidRPr="006678CF" w:rsidRDefault="00C7279F" w:rsidP="00FC7CC5">
      <w:pPr>
        <w:pStyle w:val="a0"/>
        <w:numPr>
          <w:ilvl w:val="1"/>
          <w:numId w:val="8"/>
        </w:numPr>
        <w:tabs>
          <w:tab w:val="left" w:pos="851"/>
        </w:tabs>
      </w:pPr>
      <w:bookmarkStart w:id="10" w:name="_Toc190682512"/>
      <w:r w:rsidRPr="006678CF">
        <w:rPr>
          <w:rFonts w:asciiTheme="minorHAnsi" w:hAnsiTheme="minorHAnsi" w:cstheme="minorHAnsi"/>
          <w:color w:val="323E4F" w:themeColor="text2" w:themeShade="BF"/>
        </w:rPr>
        <w:t>САРАДЊА СА ИНС</w:t>
      </w:r>
      <w:r w:rsidR="006678CF">
        <w:rPr>
          <w:rFonts w:asciiTheme="minorHAnsi" w:hAnsiTheme="minorHAnsi" w:cstheme="minorHAnsi"/>
          <w:color w:val="323E4F" w:themeColor="text2" w:themeShade="BF"/>
        </w:rPr>
        <w:t xml:space="preserve">ТИТУЦИЈАМА И ТИЈЕЛИМА </w:t>
      </w:r>
      <w:r w:rsidR="006678CF" w:rsidRPr="006678CF">
        <w:rPr>
          <w:rFonts w:asciiTheme="minorHAnsi" w:hAnsiTheme="minorHAnsi" w:cstheme="minorHAnsi"/>
          <w:color w:val="323E4F" w:themeColor="text2" w:themeShade="BF"/>
        </w:rPr>
        <w:t xml:space="preserve">У </w:t>
      </w:r>
      <w:r w:rsidRPr="006678CF">
        <w:rPr>
          <w:rFonts w:asciiTheme="minorHAnsi" w:hAnsiTheme="minorHAnsi" w:cstheme="minorHAnsi"/>
          <w:color w:val="323E4F" w:themeColor="text2" w:themeShade="BF"/>
        </w:rPr>
        <w:t>ВИСОКО</w:t>
      </w:r>
      <w:r w:rsidR="006678CF">
        <w:rPr>
          <w:rFonts w:asciiTheme="minorHAnsi" w:hAnsiTheme="minorHAnsi" w:cstheme="minorHAnsi"/>
          <w:color w:val="323E4F" w:themeColor="text2" w:themeShade="BF"/>
        </w:rPr>
        <w:t>М</w:t>
      </w:r>
      <w:r w:rsidRPr="006678CF">
        <w:rPr>
          <w:rFonts w:asciiTheme="minorHAnsi" w:hAnsiTheme="minorHAnsi" w:cstheme="minorHAnsi"/>
          <w:color w:val="323E4F" w:themeColor="text2" w:themeShade="BF"/>
        </w:rPr>
        <w:t xml:space="preserve"> ОБРАЗОВАЊ</w:t>
      </w:r>
      <w:r w:rsidR="006678CF">
        <w:rPr>
          <w:rFonts w:asciiTheme="minorHAnsi" w:hAnsiTheme="minorHAnsi" w:cstheme="minorHAnsi"/>
          <w:color w:val="323E4F" w:themeColor="text2" w:themeShade="BF"/>
        </w:rPr>
        <w:t>У</w:t>
      </w:r>
      <w:bookmarkEnd w:id="10"/>
      <w:r w:rsidRPr="006678CF">
        <w:t xml:space="preserve"> </w:t>
      </w:r>
    </w:p>
    <w:p w:rsidR="00C7279F" w:rsidRPr="006E07C8" w:rsidRDefault="00C7279F" w:rsidP="006678CF">
      <w:pPr>
        <w:spacing w:after="240"/>
        <w:rPr>
          <w:rFonts w:eastAsia="Calibri" w:cstheme="minorHAnsi"/>
          <w:b/>
          <w:color w:val="323E4F" w:themeColor="text2" w:themeShade="BF"/>
          <w:sz w:val="22"/>
          <w:szCs w:val="22"/>
          <w:lang w:val="sr-Cyrl-RS"/>
        </w:rPr>
      </w:pPr>
    </w:p>
    <w:p w:rsidR="00131ACA" w:rsidRDefault="00C7279F" w:rsidP="00131ACA">
      <w:pPr>
        <w:pStyle w:val="ListParagraph"/>
        <w:ind w:left="0"/>
        <w:contextualSpacing w:val="0"/>
        <w:jc w:val="both"/>
        <w:rPr>
          <w:rFonts w:ascii="Calibri" w:eastAsia="Calibri" w:hAnsi="Calibri" w:cs="Calibri"/>
          <w:lang w:val="sr-Cyrl-BA" w:eastAsia="en-US"/>
        </w:rPr>
      </w:pPr>
      <w:r w:rsidRPr="000F268E">
        <w:rPr>
          <w:rFonts w:ascii="Calibri" w:eastAsia="Calibri" w:hAnsi="Calibri" w:cs="Calibri"/>
          <w:lang w:val="sr-Cyrl-BA" w:eastAsia="en-US"/>
        </w:rPr>
        <w:t>У 202</w:t>
      </w:r>
      <w:r w:rsidR="006678CF">
        <w:rPr>
          <w:rFonts w:ascii="Calibri" w:eastAsia="Calibri" w:hAnsi="Calibri" w:cs="Calibri"/>
          <w:lang w:val="sr-Cyrl-BA" w:eastAsia="en-US"/>
        </w:rPr>
        <w:t>4</w:t>
      </w:r>
      <w:r w:rsidRPr="000F268E">
        <w:rPr>
          <w:rFonts w:ascii="Calibri" w:eastAsia="Calibri" w:hAnsi="Calibri" w:cs="Calibri"/>
          <w:lang w:val="sr-Cyrl-BA" w:eastAsia="en-US"/>
        </w:rPr>
        <w:t xml:space="preserve">. години настављена je и унапређена сарадња са ХЕА. У складу </w:t>
      </w:r>
      <w:r w:rsidR="00C229FB">
        <w:rPr>
          <w:rFonts w:ascii="Calibri" w:eastAsia="Calibri" w:hAnsi="Calibri" w:cs="Calibri"/>
          <w:lang w:val="sr-Cyrl-RS" w:eastAsia="en-US"/>
        </w:rPr>
        <w:t xml:space="preserve">са </w:t>
      </w:r>
      <w:r w:rsidRPr="000F268E">
        <w:rPr>
          <w:rFonts w:ascii="Calibri" w:eastAsia="Calibri" w:hAnsi="Calibri" w:cs="Calibri"/>
          <w:lang w:val="sr-Cyrl-BA" w:eastAsia="en-US"/>
        </w:rPr>
        <w:t>предвиђеним процедурама, реализована су именовања комисија стручњака за вањско вредновање у поступку акредитације, издавања препорука за акредитацију и уписа у Регистар акредитованих установа кој</w:t>
      </w:r>
      <w:r w:rsidR="00557314">
        <w:rPr>
          <w:rFonts w:ascii="Calibri" w:eastAsia="Calibri" w:hAnsi="Calibri" w:cs="Calibri"/>
          <w:lang w:val="sr-Cyrl-BA" w:eastAsia="en-US"/>
        </w:rPr>
        <w:t>и</w:t>
      </w:r>
      <w:r w:rsidRPr="000F268E">
        <w:rPr>
          <w:rFonts w:ascii="Calibri" w:eastAsia="Calibri" w:hAnsi="Calibri" w:cs="Calibri"/>
          <w:lang w:val="sr-Cyrl-BA" w:eastAsia="en-US"/>
        </w:rPr>
        <w:t xml:space="preserve"> води ХЕА. </w:t>
      </w:r>
    </w:p>
    <w:p w:rsidR="00094E86" w:rsidRDefault="00131ACA" w:rsidP="00094E86">
      <w:pPr>
        <w:pStyle w:val="ListParagraph"/>
        <w:ind w:left="0"/>
        <w:contextualSpacing w:val="0"/>
        <w:jc w:val="both"/>
        <w:rPr>
          <w:rFonts w:cstheme="minorHAnsi"/>
        </w:rPr>
      </w:pPr>
      <w:r>
        <w:rPr>
          <w:rFonts w:cstheme="minorHAnsi"/>
          <w:lang w:val="sr-Cyrl-RS"/>
        </w:rPr>
        <w:t xml:space="preserve">Посебно је значајна заједничка презентација двију агенција о сарадњи у поступцима вањског вредновања која је, као примјер добре праксе, представљена на </w:t>
      </w:r>
      <w:r w:rsidRPr="008464DC">
        <w:rPr>
          <w:rFonts w:cstheme="minorHAnsi"/>
        </w:rPr>
        <w:t>Генералн</w:t>
      </w:r>
      <w:r>
        <w:rPr>
          <w:rFonts w:cstheme="minorHAnsi"/>
          <w:lang w:val="sr-Cyrl-RS"/>
        </w:rPr>
        <w:t>ој</w:t>
      </w:r>
      <w:r w:rsidRPr="008464DC">
        <w:rPr>
          <w:rFonts w:cstheme="minorHAnsi"/>
        </w:rPr>
        <w:t xml:space="preserve"> скупштин</w:t>
      </w:r>
      <w:r>
        <w:rPr>
          <w:rFonts w:cstheme="minorHAnsi"/>
          <w:lang w:val="sr-Cyrl-RS"/>
        </w:rPr>
        <w:t>и</w:t>
      </w:r>
      <w:r w:rsidRPr="008464DC">
        <w:rPr>
          <w:rFonts w:cstheme="minorHAnsi"/>
        </w:rPr>
        <w:t xml:space="preserve"> ENQA-e</w:t>
      </w:r>
      <w:r>
        <w:rPr>
          <w:rFonts w:cstheme="minorHAnsi"/>
          <w:lang w:val="sr-Cyrl-RS"/>
        </w:rPr>
        <w:t xml:space="preserve">  у</w:t>
      </w:r>
      <w:r w:rsidRPr="008464DC">
        <w:rPr>
          <w:rFonts w:cstheme="minorHAnsi"/>
        </w:rPr>
        <w:t xml:space="preserve"> октобру 2024. </w:t>
      </w:r>
      <w:r>
        <w:rPr>
          <w:rFonts w:cstheme="minorHAnsi"/>
          <w:lang w:val="sr-Cyrl-RS"/>
        </w:rPr>
        <w:t>г</w:t>
      </w:r>
      <w:r w:rsidRPr="008464DC">
        <w:rPr>
          <w:rFonts w:cstheme="minorHAnsi"/>
        </w:rPr>
        <w:t>одине</w:t>
      </w:r>
      <w:r>
        <w:rPr>
          <w:rFonts w:cstheme="minorHAnsi"/>
          <w:lang w:val="sr-Cyrl-RS"/>
        </w:rPr>
        <w:t xml:space="preserve"> на</w:t>
      </w:r>
      <w:r w:rsidRPr="008464DC">
        <w:rPr>
          <w:rFonts w:cstheme="minorHAnsi"/>
        </w:rPr>
        <w:t xml:space="preserve"> Малт</w:t>
      </w:r>
      <w:r>
        <w:rPr>
          <w:rFonts w:cstheme="minorHAnsi"/>
          <w:lang w:val="sr-Cyrl-RS"/>
        </w:rPr>
        <w:t>и.  П</w:t>
      </w:r>
      <w:r w:rsidRPr="008464DC">
        <w:rPr>
          <w:rFonts w:cstheme="minorHAnsi"/>
        </w:rPr>
        <w:t xml:space="preserve">редставници Агенције и </w:t>
      </w:r>
      <w:r>
        <w:rPr>
          <w:rFonts w:cstheme="minorHAnsi"/>
          <w:lang w:val="sr-Cyrl-RS"/>
        </w:rPr>
        <w:t xml:space="preserve">ХЕА су у двије сесије имали презентацију на тему </w:t>
      </w:r>
      <w:r w:rsidRPr="008464DC">
        <w:rPr>
          <w:rFonts w:cstheme="minorHAnsi"/>
        </w:rPr>
        <w:t>сарадњ</w:t>
      </w:r>
      <w:r>
        <w:rPr>
          <w:rFonts w:cstheme="minorHAnsi"/>
          <w:lang w:val="sr-Cyrl-RS"/>
        </w:rPr>
        <w:t>е</w:t>
      </w:r>
      <w:r w:rsidRPr="008464DC">
        <w:rPr>
          <w:rFonts w:cstheme="minorHAnsi"/>
        </w:rPr>
        <w:t xml:space="preserve"> </w:t>
      </w:r>
      <w:r>
        <w:rPr>
          <w:rFonts w:cstheme="minorHAnsi"/>
          <w:lang w:val="sr-Cyrl-RS"/>
        </w:rPr>
        <w:t>између агенција у поступцима акредитације, те су представљене надлежности сваке од агенција у области осигурања квалитета</w:t>
      </w:r>
      <w:r w:rsidR="00094E86">
        <w:rPr>
          <w:rFonts w:cstheme="minorHAnsi"/>
          <w:lang w:val="sr-Cyrl-RS"/>
        </w:rPr>
        <w:t xml:space="preserve"> и акредитације.</w:t>
      </w:r>
      <w:r>
        <w:rPr>
          <w:rFonts w:cstheme="minorHAnsi"/>
          <w:lang w:val="sr-Cyrl-RS"/>
        </w:rPr>
        <w:t xml:space="preserve"> На тај начин</w:t>
      </w:r>
      <w:r w:rsidR="00094E86">
        <w:rPr>
          <w:rFonts w:cstheme="minorHAnsi"/>
          <w:lang w:val="sr-Latn-RS"/>
        </w:rPr>
        <w:t xml:space="preserve"> </w:t>
      </w:r>
      <w:r w:rsidR="00094E86">
        <w:rPr>
          <w:rFonts w:cstheme="minorHAnsi"/>
          <w:lang w:val="sr-Cyrl-RS"/>
        </w:rPr>
        <w:t xml:space="preserve">су агенције </w:t>
      </w:r>
      <w:r w:rsidRPr="008464DC">
        <w:rPr>
          <w:rFonts w:cstheme="minorHAnsi"/>
        </w:rPr>
        <w:t xml:space="preserve">за осигурање квалитета </w:t>
      </w:r>
      <w:r w:rsidR="00094E86">
        <w:rPr>
          <w:rFonts w:cstheme="minorHAnsi"/>
          <w:lang w:val="sr-Cyrl-RS"/>
        </w:rPr>
        <w:t>из</w:t>
      </w:r>
      <w:r w:rsidRPr="008464DC">
        <w:rPr>
          <w:rFonts w:cstheme="minorHAnsi"/>
        </w:rPr>
        <w:t xml:space="preserve"> </w:t>
      </w:r>
      <w:r w:rsidR="00094E86">
        <w:rPr>
          <w:rFonts w:cstheme="minorHAnsi"/>
        </w:rPr>
        <w:t>EHEA</w:t>
      </w:r>
      <w:r w:rsidRPr="008464DC">
        <w:rPr>
          <w:rFonts w:cstheme="minorHAnsi"/>
        </w:rPr>
        <w:t xml:space="preserve"> </w:t>
      </w:r>
      <w:r w:rsidR="00094E86">
        <w:rPr>
          <w:rFonts w:cstheme="minorHAnsi"/>
          <w:lang w:val="sr-Cyrl-RS"/>
        </w:rPr>
        <w:t xml:space="preserve">имале прилику да се детаљно упознају </w:t>
      </w:r>
      <w:r>
        <w:rPr>
          <w:rFonts w:cstheme="minorHAnsi"/>
          <w:lang w:val="sr-Cyrl-RS"/>
        </w:rPr>
        <w:t xml:space="preserve">су </w:t>
      </w:r>
      <w:r w:rsidRPr="008464DC">
        <w:rPr>
          <w:rFonts w:cstheme="minorHAnsi"/>
        </w:rPr>
        <w:t>надлежности</w:t>
      </w:r>
      <w:r w:rsidR="00094E86">
        <w:rPr>
          <w:rFonts w:cstheme="minorHAnsi"/>
          <w:lang w:val="sr-Cyrl-RS"/>
        </w:rPr>
        <w:t>ма</w:t>
      </w:r>
      <w:r w:rsidRPr="008464DC">
        <w:rPr>
          <w:rFonts w:cstheme="minorHAnsi"/>
        </w:rPr>
        <w:t>, рад</w:t>
      </w:r>
      <w:r w:rsidR="00094E86">
        <w:rPr>
          <w:rFonts w:cstheme="minorHAnsi"/>
          <w:lang w:val="sr-Cyrl-RS"/>
        </w:rPr>
        <w:t>ом</w:t>
      </w:r>
      <w:r>
        <w:rPr>
          <w:rFonts w:cstheme="minorHAnsi"/>
          <w:lang w:val="sr-Cyrl-RS"/>
        </w:rPr>
        <w:t xml:space="preserve"> </w:t>
      </w:r>
      <w:r w:rsidRPr="008464DC">
        <w:rPr>
          <w:rFonts w:cstheme="minorHAnsi"/>
        </w:rPr>
        <w:t>и организациј</w:t>
      </w:r>
      <w:r w:rsidR="00094E86">
        <w:rPr>
          <w:rFonts w:cstheme="minorHAnsi"/>
          <w:lang w:val="sr-Cyrl-RS"/>
        </w:rPr>
        <w:t>ом система</w:t>
      </w:r>
      <w:r w:rsidRPr="008464DC">
        <w:rPr>
          <w:rFonts w:cstheme="minorHAnsi"/>
        </w:rPr>
        <w:t xml:space="preserve"> осигурања квалитета у високом образовању</w:t>
      </w:r>
      <w:r w:rsidR="00094E86">
        <w:rPr>
          <w:rFonts w:cstheme="minorHAnsi"/>
          <w:lang w:val="sr-Cyrl-RS"/>
        </w:rPr>
        <w:t xml:space="preserve"> у Републици Српској</w:t>
      </w:r>
      <w:r w:rsidRPr="008464DC">
        <w:rPr>
          <w:rFonts w:cstheme="minorHAnsi"/>
        </w:rPr>
        <w:t xml:space="preserve"> и БиХ.</w:t>
      </w:r>
    </w:p>
    <w:p w:rsidR="00D20021" w:rsidRPr="00D20021" w:rsidRDefault="00D20021" w:rsidP="00D20021">
      <w:pPr>
        <w:pStyle w:val="ListParagraph"/>
        <w:ind w:left="0"/>
        <w:contextualSpacing w:val="0"/>
        <w:jc w:val="both"/>
        <w:rPr>
          <w:rFonts w:cstheme="minorHAnsi"/>
          <w:lang w:val="sr-Cyrl-RS"/>
        </w:rPr>
      </w:pPr>
      <w:r>
        <w:rPr>
          <w:rFonts w:cstheme="minorHAnsi"/>
          <w:lang w:val="sr-Latn-RS"/>
        </w:rPr>
        <w:t xml:space="preserve"> </w:t>
      </w:r>
      <w:r>
        <w:rPr>
          <w:rFonts w:cstheme="minorHAnsi"/>
          <w:lang w:val="sr-Cyrl-RS"/>
        </w:rPr>
        <w:t xml:space="preserve">У децембру </w:t>
      </w:r>
      <w:r w:rsidRPr="00D20021">
        <w:rPr>
          <w:rFonts w:cstheme="minorHAnsi"/>
          <w:lang w:val="sr-Cyrl-RS"/>
        </w:rPr>
        <w:t xml:space="preserve">2024. је одржана обука стручњака у организацији ХЕА, а </w:t>
      </w:r>
      <w:r>
        <w:rPr>
          <w:rFonts w:cstheme="minorHAnsi"/>
          <w:lang w:val="sr-Cyrl-RS"/>
        </w:rPr>
        <w:t>коју су заједнички провели представници ХЕА  и</w:t>
      </w:r>
      <w:r w:rsidRPr="00D20021">
        <w:rPr>
          <w:rFonts w:cstheme="minorHAnsi"/>
          <w:lang w:val="sr-Cyrl-RS"/>
        </w:rPr>
        <w:t xml:space="preserve"> Агенциј</w:t>
      </w:r>
      <w:r>
        <w:rPr>
          <w:rFonts w:cstheme="minorHAnsi"/>
          <w:lang w:val="sr-Cyrl-RS"/>
        </w:rPr>
        <w:t xml:space="preserve">е. </w:t>
      </w:r>
      <w:r w:rsidRPr="00D20021">
        <w:rPr>
          <w:rFonts w:cstheme="minorHAnsi"/>
          <w:lang w:val="sr-Cyrl-RS"/>
        </w:rPr>
        <w:t xml:space="preserve"> Обуке, теоријске и практичне, с</w:t>
      </w:r>
      <w:r>
        <w:rPr>
          <w:rFonts w:cstheme="minorHAnsi"/>
          <w:lang w:val="sr-Cyrl-RS"/>
        </w:rPr>
        <w:t xml:space="preserve">у окупиле </w:t>
      </w:r>
      <w:r w:rsidRPr="00D20021">
        <w:rPr>
          <w:rFonts w:cstheme="minorHAnsi"/>
          <w:lang w:val="sr-Cyrl-RS"/>
        </w:rPr>
        <w:t xml:space="preserve">један дио домаћих стручњака који </w:t>
      </w:r>
      <w:r>
        <w:rPr>
          <w:rFonts w:cstheme="minorHAnsi"/>
          <w:lang w:val="sr-Cyrl-RS"/>
        </w:rPr>
        <w:t>су претходно</w:t>
      </w:r>
      <w:r w:rsidRPr="00D20021">
        <w:rPr>
          <w:rFonts w:cstheme="minorHAnsi"/>
          <w:lang w:val="sr-Cyrl-RS"/>
        </w:rPr>
        <w:t xml:space="preserve"> одабрани на Листу стручњака у категоријама академске заједнице, привреде и праксе и студената.</w:t>
      </w:r>
    </w:p>
    <w:p w:rsidR="00094E86" w:rsidRPr="00D20021" w:rsidRDefault="00C7279F" w:rsidP="00D20021">
      <w:pPr>
        <w:pStyle w:val="ListParagraph"/>
        <w:ind w:left="0"/>
        <w:contextualSpacing w:val="0"/>
        <w:jc w:val="both"/>
        <w:rPr>
          <w:rFonts w:ascii="Calibri" w:eastAsia="Calibri" w:hAnsi="Calibri" w:cs="Calibri"/>
          <w:lang w:val="sr-Cyrl-BA"/>
        </w:rPr>
      </w:pPr>
      <w:r w:rsidRPr="003839FC">
        <w:rPr>
          <w:rFonts w:eastAsia="Calibri" w:cstheme="minorHAnsi"/>
          <w:lang w:val="sr-Cyrl-BA"/>
        </w:rPr>
        <w:t>Представници Агенције су редовно присуствовали</w:t>
      </w:r>
      <w:r w:rsidR="00D20021">
        <w:rPr>
          <w:rFonts w:eastAsia="Calibri" w:cstheme="minorHAnsi"/>
          <w:lang w:val="sr-Cyrl-BA"/>
        </w:rPr>
        <w:t xml:space="preserve"> </w:t>
      </w:r>
      <w:r w:rsidRPr="003839FC">
        <w:rPr>
          <w:rFonts w:eastAsia="Calibri" w:cstheme="minorHAnsi"/>
          <w:lang w:val="sr-Cyrl-BA"/>
        </w:rPr>
        <w:t>сједницама Савјета</w:t>
      </w:r>
      <w:r w:rsidR="00D20021">
        <w:rPr>
          <w:rFonts w:eastAsia="Calibri" w:cstheme="minorHAnsi"/>
          <w:lang w:val="sr-Cyrl-BA"/>
        </w:rPr>
        <w:t xml:space="preserve"> за високо образовање Републике Српске </w:t>
      </w:r>
      <w:r w:rsidRPr="003839FC">
        <w:rPr>
          <w:rFonts w:eastAsia="Calibri" w:cstheme="minorHAnsi"/>
          <w:lang w:val="sr-Cyrl-BA"/>
        </w:rPr>
        <w:t xml:space="preserve"> и Ректорске конференције Републике Српске и информисали чланове ових тијела о актуелним дешавањима у области акредитације. </w:t>
      </w:r>
      <w:r w:rsidR="00094E86">
        <w:rPr>
          <w:rFonts w:cstheme="minorHAnsi"/>
          <w:lang w:val="sr-Cyrl-RS"/>
        </w:rPr>
        <w:t>У новембру</w:t>
      </w:r>
      <w:r w:rsidR="00094E86">
        <w:rPr>
          <w:rFonts w:cstheme="minorHAnsi"/>
        </w:rPr>
        <w:t xml:space="preserve"> 2024.</w:t>
      </w:r>
      <w:r w:rsidR="00094E86">
        <w:rPr>
          <w:rFonts w:cstheme="minorHAnsi"/>
          <w:lang w:val="sr-Cyrl-RS"/>
        </w:rPr>
        <w:t xml:space="preserve"> </w:t>
      </w:r>
      <w:r w:rsidR="00094E86" w:rsidRPr="001218D2">
        <w:rPr>
          <w:rFonts w:cstheme="minorHAnsi"/>
        </w:rPr>
        <w:t xml:space="preserve">године у Источном Сарајеву је одржана заједничка сједница Ректорске конференције Републике Српске и Конференције универзитета Србије (КОНУС) на којој је </w:t>
      </w:r>
      <w:r w:rsidR="00094E86">
        <w:rPr>
          <w:rFonts w:cstheme="minorHAnsi"/>
          <w:lang w:val="sr-Cyrl-RS"/>
        </w:rPr>
        <w:t>разговарано о</w:t>
      </w:r>
      <w:r w:rsidR="00094E86" w:rsidRPr="001218D2">
        <w:rPr>
          <w:rFonts w:cstheme="minorHAnsi"/>
        </w:rPr>
        <w:t xml:space="preserve"> сарадњ</w:t>
      </w:r>
      <w:r w:rsidR="00094E86">
        <w:rPr>
          <w:rFonts w:cstheme="minorHAnsi"/>
          <w:lang w:val="sr-Cyrl-RS"/>
        </w:rPr>
        <w:t>и</w:t>
      </w:r>
      <w:r w:rsidR="00094E86" w:rsidRPr="001218D2">
        <w:rPr>
          <w:rFonts w:cstheme="minorHAnsi"/>
        </w:rPr>
        <w:t xml:space="preserve"> </w:t>
      </w:r>
      <w:r w:rsidR="00094E86">
        <w:rPr>
          <w:rFonts w:cstheme="minorHAnsi"/>
          <w:lang w:val="sr-Cyrl-RS"/>
        </w:rPr>
        <w:t>у наставном</w:t>
      </w:r>
      <w:r w:rsidR="00094E86" w:rsidRPr="001218D2">
        <w:rPr>
          <w:rFonts w:cstheme="minorHAnsi"/>
        </w:rPr>
        <w:t xml:space="preserve"> </w:t>
      </w:r>
      <w:r w:rsidR="00094E86">
        <w:rPr>
          <w:rFonts w:cstheme="minorHAnsi"/>
          <w:lang w:val="sr-Cyrl-RS"/>
        </w:rPr>
        <w:t>и научном</w:t>
      </w:r>
      <w:r w:rsidR="00094E86" w:rsidRPr="001218D2">
        <w:rPr>
          <w:rFonts w:cstheme="minorHAnsi"/>
        </w:rPr>
        <w:t xml:space="preserve"> процесу, а којој </w:t>
      </w:r>
      <w:r w:rsidR="00094E86">
        <w:rPr>
          <w:rFonts w:cstheme="minorHAnsi"/>
          <w:lang w:val="sr-Cyrl-RS"/>
        </w:rPr>
        <w:t xml:space="preserve">су </w:t>
      </w:r>
      <w:r w:rsidR="00094E86" w:rsidRPr="001218D2">
        <w:rPr>
          <w:rFonts w:cstheme="minorHAnsi"/>
        </w:rPr>
        <w:t>присуствов</w:t>
      </w:r>
      <w:r w:rsidR="00094E86">
        <w:rPr>
          <w:rFonts w:cstheme="minorHAnsi"/>
          <w:lang w:val="sr-Cyrl-RS"/>
        </w:rPr>
        <w:t>али и представници</w:t>
      </w:r>
      <w:r w:rsidR="00094E86" w:rsidRPr="001218D2">
        <w:rPr>
          <w:rFonts w:cstheme="minorHAnsi"/>
        </w:rPr>
        <w:t xml:space="preserve"> Агенције</w:t>
      </w:r>
      <w:r w:rsidR="00094E86">
        <w:rPr>
          <w:rFonts w:cstheme="minorHAnsi"/>
          <w:lang w:val="sr-Cyrl-RS"/>
        </w:rPr>
        <w:t>.</w:t>
      </w:r>
      <w:r w:rsidR="00094E86" w:rsidRPr="001218D2">
        <w:rPr>
          <w:rFonts w:cstheme="minorHAnsi"/>
        </w:rPr>
        <w:t xml:space="preserve"> Том приликом су представ</w:t>
      </w:r>
      <w:r w:rsidR="00094E86">
        <w:rPr>
          <w:rFonts w:cstheme="minorHAnsi"/>
        </w:rPr>
        <w:t>љ</w:t>
      </w:r>
      <w:r w:rsidR="00094E86" w:rsidRPr="001218D2">
        <w:rPr>
          <w:rFonts w:cstheme="minorHAnsi"/>
        </w:rPr>
        <w:t>ена искуства Агенције у процесу акредитације</w:t>
      </w:r>
      <w:r w:rsidR="00094E86">
        <w:rPr>
          <w:rFonts w:cstheme="minorHAnsi"/>
          <w:lang w:val="sr-Cyrl-RS"/>
        </w:rPr>
        <w:t>,</w:t>
      </w:r>
      <w:r w:rsidR="00094E86" w:rsidRPr="001218D2">
        <w:rPr>
          <w:rFonts w:cstheme="minorHAnsi"/>
        </w:rPr>
        <w:t xml:space="preserve"> </w:t>
      </w:r>
      <w:r w:rsidR="00094E86">
        <w:rPr>
          <w:rFonts w:cstheme="minorHAnsi"/>
          <w:lang w:val="sr-Cyrl-RS"/>
        </w:rPr>
        <w:t>са</w:t>
      </w:r>
      <w:r w:rsidR="00094E86" w:rsidRPr="001218D2">
        <w:rPr>
          <w:rFonts w:cstheme="minorHAnsi"/>
        </w:rPr>
        <w:t xml:space="preserve"> нагласак</w:t>
      </w:r>
      <w:r w:rsidR="00094E86">
        <w:rPr>
          <w:rFonts w:cstheme="minorHAnsi"/>
          <w:lang w:val="sr-Cyrl-RS"/>
        </w:rPr>
        <w:t>ом</w:t>
      </w:r>
      <w:r w:rsidR="00094E86" w:rsidRPr="001218D2">
        <w:rPr>
          <w:rFonts w:cstheme="minorHAnsi"/>
        </w:rPr>
        <w:t xml:space="preserve"> на то да су поједине установе већ ушле у трећи циклус акредитације, те да је акредитован и значајан број студијских програма. Наглашено је да Агенција има одличну сарадњу са Националним акредитационим телом Србије са којим учествује и у заједничком пројекту SEQA-ESG2</w:t>
      </w:r>
      <w:r w:rsidR="00094E86">
        <w:rPr>
          <w:rFonts w:cstheme="minorHAnsi"/>
          <w:lang w:val="sr-Cyrl-RS"/>
        </w:rPr>
        <w:t>.</w:t>
      </w:r>
      <w:r w:rsidR="00094E86" w:rsidRPr="001218D2">
        <w:rPr>
          <w:rFonts w:cstheme="minorHAnsi"/>
        </w:rPr>
        <w:t xml:space="preserve"> </w:t>
      </w:r>
    </w:p>
    <w:p w:rsidR="00094E86" w:rsidRPr="00D20021" w:rsidRDefault="00D20021" w:rsidP="00D20021">
      <w:pPr>
        <w:pStyle w:val="ListParagraph"/>
        <w:spacing w:after="0"/>
        <w:ind w:left="0"/>
        <w:contextualSpacing w:val="0"/>
        <w:jc w:val="both"/>
        <w:rPr>
          <w:rFonts w:ascii="Calibri" w:eastAsia="Calibri" w:hAnsi="Calibri" w:cs="Calibri"/>
          <w:lang w:val="sr-Cyrl-BA"/>
        </w:rPr>
      </w:pPr>
      <w:r w:rsidRPr="003839FC">
        <w:rPr>
          <w:rFonts w:ascii="Calibri" w:eastAsia="Calibri" w:hAnsi="Calibri" w:cs="Calibri"/>
          <w:lang w:val="sr-Cyrl-BA"/>
        </w:rPr>
        <w:t xml:space="preserve">Агенција континуирано учествује у раду Одбора за стабилизацију и придруживање, Пододбора за иновације, информационо друштво и социјалну политику између ЕУ и БиХ, као и </w:t>
      </w:r>
      <w:r w:rsidRPr="003839FC">
        <w:rPr>
          <w:rFonts w:ascii="Calibri" w:hAnsi="Calibri" w:cs="Calibri"/>
          <w:lang w:val="sr-Cyrl-RS"/>
        </w:rPr>
        <w:t xml:space="preserve"> </w:t>
      </w:r>
      <w:r w:rsidRPr="003839FC">
        <w:rPr>
          <w:rFonts w:ascii="Calibri" w:eastAsia="Calibri" w:hAnsi="Calibri" w:cs="Calibri"/>
          <w:lang w:val="sr-Cyrl-BA"/>
        </w:rPr>
        <w:t>у припремама редовних годишњих извјештаја о напретку БиХ у процесу европских интеграција у дијелу који се односи на обезбјеђење квалитета у високом образовању.</w:t>
      </w:r>
      <w:r>
        <w:rPr>
          <w:rFonts w:ascii="Calibri" w:eastAsia="Calibri" w:hAnsi="Calibri" w:cs="Calibri"/>
          <w:lang w:val="sr-Cyrl-BA"/>
        </w:rPr>
        <w:t xml:space="preserve"> </w:t>
      </w:r>
      <w:r w:rsidR="00094E86" w:rsidRPr="001218D2">
        <w:rPr>
          <w:rFonts w:cstheme="minorHAnsi"/>
        </w:rPr>
        <w:t xml:space="preserve">У оквиру наведених активности, у септембру 2024. године, представници Агенције су учествовали у раду 7. Одбора за стабилизацију и придруживање између ЕУ и БиХ који је одржан  у Бриселу. </w:t>
      </w:r>
      <w:r w:rsidR="00094E86">
        <w:rPr>
          <w:rFonts w:cstheme="minorHAnsi"/>
          <w:lang w:val="sr-Cyrl-RS"/>
        </w:rPr>
        <w:t xml:space="preserve"> У </w:t>
      </w:r>
      <w:r w:rsidR="00094E86" w:rsidRPr="001218D2">
        <w:rPr>
          <w:rFonts w:cstheme="minorHAnsi"/>
        </w:rPr>
        <w:t xml:space="preserve"> октобр</w:t>
      </w:r>
      <w:r w:rsidR="00094E86">
        <w:rPr>
          <w:rFonts w:cstheme="minorHAnsi"/>
          <w:lang w:val="sr-Cyrl-RS"/>
        </w:rPr>
        <w:t>у</w:t>
      </w:r>
      <w:r w:rsidR="00094E86" w:rsidRPr="001218D2">
        <w:rPr>
          <w:rFonts w:cstheme="minorHAnsi"/>
        </w:rPr>
        <w:t xml:space="preserve"> 2024. године представници Агенције су учествовали на 8. састанку Пододбора за иновације, информационо друштво и социјалну политику између ЕУ и БиХ</w:t>
      </w:r>
      <w:r w:rsidR="00094E86">
        <w:rPr>
          <w:rFonts w:cstheme="minorHAnsi"/>
          <w:lang w:val="sr-Cyrl-RS"/>
        </w:rPr>
        <w:t xml:space="preserve"> </w:t>
      </w:r>
      <w:r w:rsidR="00094E86" w:rsidRPr="001218D2">
        <w:rPr>
          <w:rFonts w:cstheme="minorHAnsi"/>
        </w:rPr>
        <w:t xml:space="preserve">који је </w:t>
      </w:r>
      <w:r w:rsidR="00094E86">
        <w:rPr>
          <w:rFonts w:cstheme="minorHAnsi"/>
          <w:lang w:val="sr-Cyrl-RS"/>
        </w:rPr>
        <w:t xml:space="preserve">такође </w:t>
      </w:r>
      <w:r w:rsidR="00094E86">
        <w:rPr>
          <w:rFonts w:cstheme="minorHAnsi"/>
        </w:rPr>
        <w:t>одржан у Бриселу</w:t>
      </w:r>
      <w:r w:rsidR="00094E86">
        <w:rPr>
          <w:rFonts w:cstheme="minorHAnsi"/>
          <w:lang w:val="sr-Cyrl-RS"/>
        </w:rPr>
        <w:t>.</w:t>
      </w:r>
    </w:p>
    <w:p w:rsidR="001A2BC7" w:rsidRDefault="001A2BC7" w:rsidP="00D20021">
      <w:pPr>
        <w:spacing w:after="240"/>
      </w:pPr>
    </w:p>
    <w:p w:rsidR="001A2BC7" w:rsidRPr="00C13664" w:rsidRDefault="00D20021" w:rsidP="00D20021">
      <w:pPr>
        <w:pStyle w:val="a"/>
        <w:numPr>
          <w:ilvl w:val="0"/>
          <w:numId w:val="0"/>
        </w:numPr>
        <w:rPr>
          <w:rFonts w:asciiTheme="minorHAnsi" w:hAnsiTheme="minorHAnsi" w:cstheme="minorHAnsi"/>
          <w:color w:val="FF0000"/>
        </w:rPr>
      </w:pPr>
      <w:bookmarkStart w:id="11" w:name="_Toc190682513"/>
      <w:r>
        <w:rPr>
          <w:rFonts w:asciiTheme="minorHAnsi" w:hAnsiTheme="minorHAnsi" w:cstheme="minorHAnsi"/>
          <w:color w:val="323E4F" w:themeColor="text2" w:themeShade="BF"/>
          <w:lang w:val="sr-Latn-RS"/>
        </w:rPr>
        <w:t xml:space="preserve">IV  </w:t>
      </w:r>
      <w:r w:rsidR="001A2BC7" w:rsidRPr="00AA6C70">
        <w:rPr>
          <w:rFonts w:asciiTheme="minorHAnsi" w:hAnsiTheme="minorHAnsi" w:cstheme="minorHAnsi"/>
          <w:color w:val="323E4F" w:themeColor="text2" w:themeShade="BF"/>
        </w:rPr>
        <w:t>ОРГАНИЗАЦИЈА РАДА</w:t>
      </w:r>
      <w:bookmarkEnd w:id="11"/>
      <w:r w:rsidR="001A2BC7" w:rsidRPr="00AA6C70">
        <w:rPr>
          <w:rFonts w:asciiTheme="minorHAnsi" w:hAnsiTheme="minorHAnsi" w:cstheme="minorHAnsi"/>
          <w:color w:val="323E4F" w:themeColor="text2" w:themeShade="BF"/>
        </w:rPr>
        <w:t xml:space="preserve"> </w:t>
      </w:r>
    </w:p>
    <w:p w:rsidR="001A2BC7" w:rsidRDefault="001A2BC7" w:rsidP="001A2BC7">
      <w:pPr>
        <w:pStyle w:val="Default"/>
        <w:spacing w:after="240" w:line="276" w:lineRule="auto"/>
        <w:jc w:val="both"/>
        <w:rPr>
          <w:rFonts w:asciiTheme="minorHAnsi" w:eastAsiaTheme="minorEastAsia" w:hAnsiTheme="minorHAnsi" w:cstheme="minorHAnsi"/>
          <w:color w:val="auto"/>
          <w:sz w:val="22"/>
          <w:szCs w:val="22"/>
          <w:highlight w:val="yellow"/>
          <w:lang w:val="sr-Cyrl-BA" w:eastAsia="bs-Latn-BA"/>
        </w:rPr>
      </w:pPr>
    </w:p>
    <w:p w:rsidR="001A2BC7" w:rsidRPr="009E2CE8" w:rsidRDefault="001A2BC7" w:rsidP="001A2BC7">
      <w:pPr>
        <w:pStyle w:val="Default"/>
        <w:spacing w:after="240" w:line="276" w:lineRule="auto"/>
        <w:jc w:val="both"/>
        <w:rPr>
          <w:rFonts w:asciiTheme="minorHAnsi" w:eastAsiaTheme="minorEastAsia" w:hAnsiTheme="minorHAnsi" w:cstheme="minorHAnsi"/>
          <w:color w:val="auto"/>
          <w:sz w:val="22"/>
          <w:szCs w:val="22"/>
          <w:lang w:val="sr-Cyrl-BA" w:eastAsia="bs-Latn-BA"/>
        </w:rPr>
      </w:pPr>
      <w:r w:rsidRPr="009E2CE8">
        <w:rPr>
          <w:rFonts w:asciiTheme="minorHAnsi" w:eastAsiaTheme="minorEastAsia" w:hAnsiTheme="minorHAnsi" w:cstheme="minorHAnsi"/>
          <w:color w:val="auto"/>
          <w:sz w:val="22"/>
          <w:szCs w:val="22"/>
          <w:lang w:val="sr-Cyrl-BA" w:eastAsia="bs-Latn-BA"/>
        </w:rPr>
        <w:t xml:space="preserve">У складу са Правилником о унутрашњој организацији и систематизацији радних мјеста у Агенцији, </w:t>
      </w:r>
      <w:r w:rsidRPr="009E2CE8">
        <w:rPr>
          <w:rFonts w:asciiTheme="minorHAnsi" w:eastAsia="Times New Roman" w:hAnsiTheme="minorHAnsi" w:cstheme="minorHAnsi"/>
          <w:color w:val="auto"/>
          <w:sz w:val="22"/>
          <w:szCs w:val="22"/>
          <w:lang w:val="sr-Cyrl-BA"/>
        </w:rPr>
        <w:t>послови и радни задаци из дјелатности Агенције</w:t>
      </w:r>
      <w:r w:rsidRPr="009E2CE8">
        <w:rPr>
          <w:rFonts w:asciiTheme="minorHAnsi" w:eastAsia="Times New Roman" w:hAnsiTheme="minorHAnsi" w:cstheme="minorHAnsi"/>
          <w:color w:val="auto"/>
          <w:sz w:val="22"/>
          <w:szCs w:val="22"/>
          <w:lang w:val="sr-Latn-BA"/>
        </w:rPr>
        <w:t xml:space="preserve"> </w:t>
      </w:r>
      <w:r w:rsidRPr="009E2CE8">
        <w:rPr>
          <w:rFonts w:asciiTheme="minorHAnsi" w:eastAsia="Times New Roman" w:hAnsiTheme="minorHAnsi" w:cstheme="minorHAnsi"/>
          <w:color w:val="auto"/>
          <w:sz w:val="22"/>
          <w:szCs w:val="22"/>
          <w:lang w:val="sr-Cyrl-BA"/>
        </w:rPr>
        <w:t>су у 2024. години организовани у оквиру сљедећих организационих јединица:</w:t>
      </w:r>
    </w:p>
    <w:p w:rsidR="001A2BC7" w:rsidRPr="009E2CE8" w:rsidRDefault="001A2BC7" w:rsidP="001A2BC7">
      <w:pPr>
        <w:pStyle w:val="ListParagraph"/>
        <w:numPr>
          <w:ilvl w:val="0"/>
          <w:numId w:val="2"/>
        </w:numPr>
        <w:spacing w:after="0"/>
        <w:jc w:val="both"/>
        <w:rPr>
          <w:rFonts w:cstheme="minorHAnsi"/>
          <w:lang w:val="sr-Cyrl-CS"/>
        </w:rPr>
      </w:pPr>
      <w:r w:rsidRPr="009E2CE8">
        <w:rPr>
          <w:rFonts w:cstheme="minorHAnsi"/>
          <w:lang w:val="sr-Cyrl-CS"/>
        </w:rPr>
        <w:t xml:space="preserve">Сектор за почетну акредитацију,  </w:t>
      </w:r>
    </w:p>
    <w:p w:rsidR="001A2BC7" w:rsidRPr="009E2CE8" w:rsidRDefault="001A2BC7" w:rsidP="001A2BC7">
      <w:pPr>
        <w:numPr>
          <w:ilvl w:val="0"/>
          <w:numId w:val="2"/>
        </w:numPr>
        <w:spacing w:line="276" w:lineRule="auto"/>
        <w:rPr>
          <w:rFonts w:cstheme="minorHAnsi"/>
          <w:sz w:val="22"/>
          <w:szCs w:val="22"/>
          <w:lang w:val="sr-Cyrl-CS"/>
        </w:rPr>
      </w:pPr>
      <w:r w:rsidRPr="009E2CE8">
        <w:rPr>
          <w:rFonts w:cstheme="minorHAnsi"/>
          <w:sz w:val="22"/>
          <w:szCs w:val="22"/>
          <w:lang w:val="sr-Cyrl-CS"/>
        </w:rPr>
        <w:t xml:space="preserve">Сектор за акредитацију и међународну сарадњу, </w:t>
      </w:r>
    </w:p>
    <w:p w:rsidR="001A2BC7" w:rsidRPr="009E2CE8" w:rsidRDefault="001A2BC7" w:rsidP="001A2BC7">
      <w:pPr>
        <w:numPr>
          <w:ilvl w:val="0"/>
          <w:numId w:val="2"/>
        </w:numPr>
        <w:spacing w:line="276" w:lineRule="auto"/>
        <w:rPr>
          <w:rFonts w:cstheme="minorHAnsi"/>
          <w:sz w:val="22"/>
          <w:szCs w:val="22"/>
          <w:lang w:val="sr-Cyrl-CS"/>
        </w:rPr>
      </w:pPr>
      <w:r w:rsidRPr="009E2CE8">
        <w:rPr>
          <w:rFonts w:cstheme="minorHAnsi"/>
          <w:sz w:val="22"/>
          <w:szCs w:val="22"/>
          <w:lang w:val="sr-Cyrl-CS"/>
        </w:rPr>
        <w:t>Сектор за опште послове и</w:t>
      </w:r>
    </w:p>
    <w:p w:rsidR="001A2BC7" w:rsidRPr="000C3C72" w:rsidRDefault="001A2BC7" w:rsidP="000C3C72">
      <w:pPr>
        <w:numPr>
          <w:ilvl w:val="0"/>
          <w:numId w:val="2"/>
        </w:numPr>
        <w:spacing w:line="276" w:lineRule="auto"/>
        <w:rPr>
          <w:rFonts w:cstheme="minorHAnsi"/>
          <w:sz w:val="22"/>
          <w:szCs w:val="22"/>
          <w:lang w:val="sr-Cyrl-CS"/>
        </w:rPr>
      </w:pPr>
      <w:r w:rsidRPr="009E2CE8">
        <w:rPr>
          <w:rFonts w:cstheme="minorHAnsi"/>
          <w:sz w:val="22"/>
          <w:szCs w:val="22"/>
          <w:lang w:val="sr-Cyrl-CS"/>
        </w:rPr>
        <w:t>Центар за информисање и признавање страних високошколских квалификација - унутрашња организациона јединица у оквиру Сектора за опште послове</w:t>
      </w:r>
    </w:p>
    <w:p w:rsidR="001A2BC7" w:rsidRPr="00D20021" w:rsidRDefault="001A2BC7" w:rsidP="000C3C72">
      <w:pPr>
        <w:spacing w:before="240" w:after="240" w:line="276" w:lineRule="auto"/>
        <w:jc w:val="both"/>
        <w:rPr>
          <w:sz w:val="22"/>
          <w:szCs w:val="22"/>
          <w:lang w:val="sr-Cyrl-RS"/>
        </w:rPr>
      </w:pPr>
      <w:r w:rsidRPr="009E2CE8">
        <w:rPr>
          <w:sz w:val="22"/>
          <w:szCs w:val="22"/>
          <w:lang w:val="sr-Cyrl-RS"/>
        </w:rPr>
        <w:t>У Агенцији је у 2024. године, поред директора, било запослено 10 (десет) радника са којима је закључен уговор о раду на неодређено вријеме, од којих је један радник остварио право на рад са половином пуног радног времена</w:t>
      </w:r>
      <w:r w:rsidRPr="009E2CE8">
        <w:rPr>
          <w:sz w:val="22"/>
          <w:szCs w:val="22"/>
          <w:lang w:val="sr-Latn-RS"/>
        </w:rPr>
        <w:t xml:space="preserve">. </w:t>
      </w:r>
      <w:r w:rsidRPr="009E2CE8">
        <w:rPr>
          <w:sz w:val="22"/>
          <w:szCs w:val="22"/>
          <w:lang w:val="sr-Cyrl-RS"/>
        </w:rPr>
        <w:t>Поред стално запослених радника, Агенција је у 2024. години за потребе обављања послова и задатака из свог дјелокруга рада, ангажовала једног радника за обављање финансијских и рачуноводствених послова са којим је закључен уговор о допунском раду, једног радника за обављање аналитичко-информационих послова са којим је закључен уговор о допунском раду и</w:t>
      </w:r>
      <w:r w:rsidRPr="009E2CE8">
        <w:rPr>
          <w:sz w:val="22"/>
          <w:szCs w:val="22"/>
          <w:lang w:val="sr-Latn-RS"/>
        </w:rPr>
        <w:t xml:space="preserve"> </w:t>
      </w:r>
      <w:r w:rsidRPr="009E2CE8">
        <w:rPr>
          <w:sz w:val="22"/>
          <w:szCs w:val="22"/>
          <w:lang w:val="sr-Cyrl-RS"/>
        </w:rPr>
        <w:t>једног радника за одржавањ</w:t>
      </w:r>
      <w:r w:rsidRPr="009E2CE8">
        <w:rPr>
          <w:sz w:val="22"/>
          <w:szCs w:val="22"/>
          <w:lang w:val="en-GB"/>
        </w:rPr>
        <w:t>e</w:t>
      </w:r>
      <w:r w:rsidRPr="009E2CE8">
        <w:rPr>
          <w:sz w:val="22"/>
          <w:szCs w:val="22"/>
          <w:lang w:val="sr-Cyrl-RS"/>
        </w:rPr>
        <w:t xml:space="preserve"> хигијене са кој</w:t>
      </w:r>
      <w:r w:rsidR="00D20021">
        <w:rPr>
          <w:sz w:val="22"/>
          <w:szCs w:val="22"/>
          <w:lang w:val="sr-Cyrl-RS"/>
        </w:rPr>
        <w:t xml:space="preserve">им је закључен уговор о дјелу. </w:t>
      </w:r>
    </w:p>
    <w:tbl>
      <w:tblPr>
        <w:tblStyle w:val="ListTable4-Accent5"/>
        <w:tblW w:w="8275" w:type="dxa"/>
        <w:jc w:val="center"/>
        <w:tblLayout w:type="fixed"/>
        <w:tblLook w:val="04A0" w:firstRow="1" w:lastRow="0" w:firstColumn="1" w:lastColumn="0" w:noHBand="0" w:noVBand="1"/>
      </w:tblPr>
      <w:tblGrid>
        <w:gridCol w:w="1980"/>
        <w:gridCol w:w="1165"/>
        <w:gridCol w:w="1953"/>
        <w:gridCol w:w="1017"/>
        <w:gridCol w:w="1080"/>
        <w:gridCol w:w="1080"/>
      </w:tblGrid>
      <w:tr w:rsidR="001A2BC7" w:rsidRPr="009E2CE8" w:rsidTr="007D66C4">
        <w:trPr>
          <w:cnfStyle w:val="100000000000" w:firstRow="1" w:lastRow="0" w:firstColumn="0" w:lastColumn="0" w:oddVBand="0" w:evenVBand="0" w:oddHBand="0" w:evenHBand="0" w:firstRowFirstColumn="0" w:firstRowLastColumn="0" w:lastRowFirstColumn="0" w:lastRowLastColumn="0"/>
          <w:trHeight w:val="353"/>
          <w:jc w:val="center"/>
        </w:trPr>
        <w:tc>
          <w:tcPr>
            <w:cnfStyle w:val="001000000000" w:firstRow="0" w:lastRow="0" w:firstColumn="1" w:lastColumn="0" w:oddVBand="0" w:evenVBand="0" w:oddHBand="0" w:evenHBand="0" w:firstRowFirstColumn="0" w:firstRowLastColumn="0" w:lastRowFirstColumn="0" w:lastRowLastColumn="0"/>
            <w:tcW w:w="3145" w:type="dxa"/>
            <w:gridSpan w:val="2"/>
            <w:hideMark/>
          </w:tcPr>
          <w:p w:rsidR="001A2BC7" w:rsidRPr="009E2CE8" w:rsidRDefault="001A2BC7" w:rsidP="007D66C4">
            <w:pPr>
              <w:jc w:val="center"/>
              <w:rPr>
                <w:rFonts w:eastAsia="Times New Roman" w:cstheme="minorHAnsi"/>
                <w:bCs w:val="0"/>
                <w:sz w:val="22"/>
                <w:szCs w:val="22"/>
                <w:lang w:val="en-GB" w:eastAsia="en-GB"/>
              </w:rPr>
            </w:pPr>
            <w:r w:rsidRPr="009E2CE8">
              <w:rPr>
                <w:rFonts w:eastAsia="Times New Roman" w:cstheme="minorHAnsi"/>
                <w:sz w:val="22"/>
                <w:szCs w:val="22"/>
                <w:lang w:val="en-GB" w:eastAsia="en-GB"/>
              </w:rPr>
              <w:t>СТАТУС</w:t>
            </w:r>
          </w:p>
        </w:tc>
        <w:tc>
          <w:tcPr>
            <w:tcW w:w="2970" w:type="dxa"/>
            <w:gridSpan w:val="2"/>
            <w:hideMark/>
          </w:tcPr>
          <w:p w:rsidR="001A2BC7" w:rsidRPr="009E2CE8" w:rsidRDefault="001A2BC7" w:rsidP="007D66C4">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sz w:val="22"/>
                <w:szCs w:val="22"/>
                <w:lang w:val="en-GB" w:eastAsia="en-GB"/>
              </w:rPr>
            </w:pPr>
            <w:r w:rsidRPr="009E2CE8">
              <w:rPr>
                <w:rFonts w:eastAsia="Times New Roman" w:cstheme="minorHAnsi"/>
                <w:sz w:val="22"/>
                <w:szCs w:val="22"/>
                <w:lang w:val="en-GB" w:eastAsia="en-GB"/>
              </w:rPr>
              <w:t>СТРУЧНА СПРЕМА</w:t>
            </w:r>
          </w:p>
        </w:tc>
        <w:tc>
          <w:tcPr>
            <w:tcW w:w="2160" w:type="dxa"/>
            <w:gridSpan w:val="2"/>
            <w:hideMark/>
          </w:tcPr>
          <w:p w:rsidR="001A2BC7" w:rsidRPr="009E2CE8" w:rsidRDefault="001A2BC7" w:rsidP="007D66C4">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sz w:val="22"/>
                <w:szCs w:val="22"/>
                <w:lang w:val="en-GB" w:eastAsia="en-GB"/>
              </w:rPr>
            </w:pPr>
            <w:r w:rsidRPr="009E2CE8">
              <w:rPr>
                <w:rFonts w:eastAsia="Times New Roman" w:cstheme="minorHAnsi"/>
                <w:sz w:val="22"/>
                <w:szCs w:val="22"/>
                <w:lang w:val="en-GB" w:eastAsia="en-GB"/>
              </w:rPr>
              <w:t>ПОЛ</w:t>
            </w:r>
          </w:p>
        </w:tc>
      </w:tr>
      <w:tr w:rsidR="001A2BC7" w:rsidRPr="009E2CE8" w:rsidTr="007D66C4">
        <w:trPr>
          <w:cnfStyle w:val="000000100000" w:firstRow="0" w:lastRow="0" w:firstColumn="0" w:lastColumn="0" w:oddVBand="0" w:evenVBand="0" w:oddHBand="1" w:evenHBand="0" w:firstRowFirstColumn="0" w:firstRowLastColumn="0" w:lastRowFirstColumn="0" w:lastRowLastColumn="0"/>
          <w:trHeight w:val="659"/>
          <w:jc w:val="center"/>
        </w:trPr>
        <w:tc>
          <w:tcPr>
            <w:cnfStyle w:val="001000000000" w:firstRow="0" w:lastRow="0" w:firstColumn="1" w:lastColumn="0" w:oddVBand="0" w:evenVBand="0" w:oddHBand="0" w:evenHBand="0" w:firstRowFirstColumn="0" w:firstRowLastColumn="0" w:lastRowFirstColumn="0" w:lastRowLastColumn="0"/>
            <w:tcW w:w="1980" w:type="dxa"/>
            <w:hideMark/>
          </w:tcPr>
          <w:p w:rsidR="001A2BC7" w:rsidRPr="009E2CE8" w:rsidRDefault="001A2BC7" w:rsidP="007D66C4">
            <w:pPr>
              <w:jc w:val="center"/>
              <w:rPr>
                <w:rFonts w:eastAsia="Times New Roman" w:cstheme="minorHAnsi"/>
                <w:bCs w:val="0"/>
                <w:color w:val="000000"/>
                <w:sz w:val="22"/>
                <w:szCs w:val="22"/>
                <w:lang w:val="en-GB" w:eastAsia="en-GB"/>
              </w:rPr>
            </w:pPr>
            <w:r w:rsidRPr="009E2CE8">
              <w:rPr>
                <w:rFonts w:eastAsia="Times New Roman" w:cstheme="minorHAnsi"/>
                <w:color w:val="000000"/>
                <w:sz w:val="22"/>
                <w:szCs w:val="22"/>
                <w:lang w:val="en-GB" w:eastAsia="en-GB"/>
              </w:rPr>
              <w:t>Статус запослених</w:t>
            </w:r>
          </w:p>
        </w:tc>
        <w:tc>
          <w:tcPr>
            <w:tcW w:w="1165" w:type="dxa"/>
            <w:hideMark/>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2"/>
                <w:szCs w:val="22"/>
                <w:lang w:val="en-GB" w:eastAsia="en-GB"/>
              </w:rPr>
            </w:pPr>
            <w:r w:rsidRPr="009E2CE8">
              <w:rPr>
                <w:rFonts w:eastAsia="Times New Roman" w:cstheme="minorHAnsi"/>
                <w:b/>
                <w:bCs/>
                <w:color w:val="000000"/>
                <w:sz w:val="22"/>
                <w:szCs w:val="22"/>
                <w:lang w:val="en-GB" w:eastAsia="en-GB"/>
              </w:rPr>
              <w:t>Број запосле-них</w:t>
            </w:r>
          </w:p>
        </w:tc>
        <w:tc>
          <w:tcPr>
            <w:tcW w:w="1953" w:type="dxa"/>
            <w:hideMark/>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2"/>
                <w:szCs w:val="22"/>
                <w:lang w:val="en-GB" w:eastAsia="en-GB"/>
              </w:rPr>
            </w:pPr>
            <w:r w:rsidRPr="009E2CE8">
              <w:rPr>
                <w:rFonts w:eastAsia="Times New Roman" w:cstheme="minorHAnsi"/>
                <w:b/>
                <w:bCs/>
                <w:color w:val="000000"/>
                <w:sz w:val="22"/>
                <w:szCs w:val="22"/>
                <w:lang w:val="en-GB" w:eastAsia="en-GB"/>
              </w:rPr>
              <w:t>Стручна спрема запослених</w:t>
            </w:r>
          </w:p>
        </w:tc>
        <w:tc>
          <w:tcPr>
            <w:tcW w:w="1017" w:type="dxa"/>
            <w:hideMark/>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2"/>
                <w:szCs w:val="22"/>
                <w:lang w:val="en-GB" w:eastAsia="en-GB"/>
              </w:rPr>
            </w:pPr>
            <w:r w:rsidRPr="009E2CE8">
              <w:rPr>
                <w:rFonts w:eastAsia="Times New Roman" w:cstheme="minorHAnsi"/>
                <w:b/>
                <w:bCs/>
                <w:color w:val="000000"/>
                <w:sz w:val="22"/>
                <w:szCs w:val="22"/>
                <w:lang w:val="en-GB" w:eastAsia="en-GB"/>
              </w:rPr>
              <w:t>Број запосл-ених</w:t>
            </w:r>
          </w:p>
        </w:tc>
        <w:tc>
          <w:tcPr>
            <w:tcW w:w="1080" w:type="dxa"/>
            <w:hideMark/>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22"/>
                <w:szCs w:val="22"/>
                <w:lang w:val="sr-Cyrl-RS" w:eastAsia="en-GB"/>
              </w:rPr>
            </w:pPr>
            <w:r w:rsidRPr="009E2CE8">
              <w:rPr>
                <w:rFonts w:eastAsia="Times New Roman" w:cstheme="minorHAnsi"/>
                <w:b/>
                <w:color w:val="000000"/>
                <w:sz w:val="22"/>
                <w:szCs w:val="22"/>
                <w:lang w:val="en-GB" w:eastAsia="en-GB"/>
              </w:rPr>
              <w:t>Жене</w:t>
            </w:r>
            <w:r w:rsidRPr="009E2CE8">
              <w:rPr>
                <w:rFonts w:eastAsia="Times New Roman" w:cstheme="minorHAnsi"/>
                <w:b/>
                <w:color w:val="000000"/>
                <w:sz w:val="22"/>
                <w:szCs w:val="22"/>
                <w:lang w:val="sr-Cyrl-RS" w:eastAsia="en-GB"/>
              </w:rPr>
              <w:t xml:space="preserve"> </w:t>
            </w:r>
          </w:p>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2"/>
                <w:szCs w:val="22"/>
                <w:lang w:val="sr-Cyrl-RS" w:eastAsia="en-GB"/>
              </w:rPr>
            </w:pPr>
            <w:r w:rsidRPr="009E2CE8">
              <w:rPr>
                <w:rFonts w:eastAsia="Times New Roman" w:cstheme="minorHAnsi"/>
                <w:b/>
                <w:color w:val="000000"/>
                <w:sz w:val="22"/>
                <w:szCs w:val="22"/>
                <w:lang w:val="sr-Cyrl-RS" w:eastAsia="en-GB"/>
              </w:rPr>
              <w:t>(број запосл</w:t>
            </w:r>
            <w:r w:rsidRPr="009E2CE8">
              <w:rPr>
                <w:rFonts w:eastAsia="Times New Roman" w:cstheme="minorHAnsi"/>
                <w:b/>
                <w:color w:val="000000"/>
                <w:sz w:val="22"/>
                <w:szCs w:val="22"/>
                <w:lang w:val="en-GB" w:eastAsia="en-GB"/>
              </w:rPr>
              <w:t>-</w:t>
            </w:r>
            <w:r w:rsidRPr="009E2CE8">
              <w:rPr>
                <w:rFonts w:eastAsia="Times New Roman" w:cstheme="minorHAnsi"/>
                <w:b/>
                <w:color w:val="000000"/>
                <w:sz w:val="22"/>
                <w:szCs w:val="22"/>
                <w:lang w:val="sr-Cyrl-RS" w:eastAsia="en-GB"/>
              </w:rPr>
              <w:t>ених)</w:t>
            </w:r>
          </w:p>
        </w:tc>
        <w:tc>
          <w:tcPr>
            <w:tcW w:w="1080" w:type="dxa"/>
            <w:hideMark/>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2"/>
                <w:szCs w:val="22"/>
                <w:lang w:val="sr-Cyrl-RS" w:eastAsia="en-GB"/>
              </w:rPr>
            </w:pPr>
            <w:r w:rsidRPr="009E2CE8">
              <w:rPr>
                <w:rFonts w:eastAsia="Times New Roman" w:cstheme="minorHAnsi"/>
                <w:b/>
                <w:color w:val="000000"/>
                <w:sz w:val="22"/>
                <w:szCs w:val="22"/>
                <w:lang w:val="en-GB" w:eastAsia="en-GB"/>
              </w:rPr>
              <w:t>Мушкарци</w:t>
            </w:r>
            <w:r w:rsidRPr="009E2CE8">
              <w:rPr>
                <w:rFonts w:eastAsia="Times New Roman" w:cstheme="minorHAnsi"/>
                <w:b/>
                <w:color w:val="000000"/>
                <w:sz w:val="22"/>
                <w:szCs w:val="22"/>
                <w:lang w:val="sr-Cyrl-RS" w:eastAsia="en-GB"/>
              </w:rPr>
              <w:t xml:space="preserve"> (број запосл</w:t>
            </w:r>
            <w:r w:rsidRPr="009E2CE8">
              <w:rPr>
                <w:rFonts w:eastAsia="Times New Roman" w:cstheme="minorHAnsi"/>
                <w:b/>
                <w:color w:val="000000"/>
                <w:sz w:val="22"/>
                <w:szCs w:val="22"/>
                <w:lang w:val="en-GB" w:eastAsia="en-GB"/>
              </w:rPr>
              <w:t>-</w:t>
            </w:r>
            <w:r w:rsidRPr="009E2CE8">
              <w:rPr>
                <w:rFonts w:eastAsia="Times New Roman" w:cstheme="minorHAnsi"/>
                <w:b/>
                <w:color w:val="000000"/>
                <w:sz w:val="22"/>
                <w:szCs w:val="22"/>
                <w:lang w:val="sr-Cyrl-RS" w:eastAsia="en-GB"/>
              </w:rPr>
              <w:t>ених)</w:t>
            </w:r>
          </w:p>
        </w:tc>
      </w:tr>
      <w:tr w:rsidR="001A2BC7" w:rsidRPr="009E2CE8" w:rsidTr="00D20021">
        <w:trPr>
          <w:trHeight w:val="408"/>
          <w:jc w:val="center"/>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rsidR="001A2BC7" w:rsidRPr="009E2CE8" w:rsidRDefault="001A2BC7" w:rsidP="007D66C4">
            <w:pPr>
              <w:rPr>
                <w:rFonts w:eastAsia="Times New Roman" w:cstheme="minorHAnsi"/>
                <w:b w:val="0"/>
                <w:color w:val="000000"/>
                <w:sz w:val="22"/>
                <w:szCs w:val="22"/>
                <w:lang w:val="en-GB" w:eastAsia="en-GB"/>
              </w:rPr>
            </w:pPr>
            <w:r w:rsidRPr="009E2CE8">
              <w:rPr>
                <w:rFonts w:eastAsia="Times New Roman" w:cstheme="minorHAnsi"/>
                <w:b w:val="0"/>
                <w:color w:val="000000"/>
                <w:sz w:val="22"/>
                <w:szCs w:val="22"/>
                <w:lang w:val="en-GB" w:eastAsia="en-GB"/>
              </w:rPr>
              <w:t>Именована лица</w:t>
            </w:r>
          </w:p>
        </w:tc>
        <w:tc>
          <w:tcPr>
            <w:tcW w:w="1165" w:type="dxa"/>
            <w:vAlign w:val="center"/>
            <w:hideMark/>
          </w:tcPr>
          <w:p w:rsidR="001A2BC7" w:rsidRPr="009E2CE8" w:rsidRDefault="001A2BC7"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szCs w:val="22"/>
                <w:lang w:val="en-GB" w:eastAsia="en-GB"/>
              </w:rPr>
            </w:pPr>
            <w:r w:rsidRPr="009E2CE8">
              <w:rPr>
                <w:rFonts w:eastAsia="Times New Roman" w:cstheme="minorHAnsi"/>
                <w:color w:val="000000"/>
                <w:sz w:val="22"/>
                <w:szCs w:val="22"/>
                <w:lang w:val="en-GB" w:eastAsia="en-GB"/>
              </w:rPr>
              <w:t>1</w:t>
            </w:r>
          </w:p>
        </w:tc>
        <w:tc>
          <w:tcPr>
            <w:tcW w:w="1953" w:type="dxa"/>
            <w:vAlign w:val="center"/>
            <w:hideMark/>
          </w:tcPr>
          <w:p w:rsidR="001A2BC7" w:rsidRPr="009E2CE8" w:rsidRDefault="001A2BC7" w:rsidP="007D66C4">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szCs w:val="22"/>
                <w:lang w:val="en-GB" w:eastAsia="en-GB"/>
              </w:rPr>
            </w:pPr>
            <w:r w:rsidRPr="009E2CE8">
              <w:rPr>
                <w:rFonts w:eastAsia="Times New Roman" w:cstheme="minorHAnsi"/>
                <w:color w:val="000000"/>
                <w:sz w:val="22"/>
                <w:szCs w:val="22"/>
                <w:lang w:val="en-GB" w:eastAsia="en-GB"/>
              </w:rPr>
              <w:t>Доктор наука</w:t>
            </w:r>
          </w:p>
        </w:tc>
        <w:tc>
          <w:tcPr>
            <w:tcW w:w="1017" w:type="dxa"/>
            <w:vAlign w:val="center"/>
            <w:hideMark/>
          </w:tcPr>
          <w:p w:rsidR="001A2BC7" w:rsidRPr="009E2CE8" w:rsidRDefault="001A2BC7"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szCs w:val="22"/>
                <w:lang w:val="sr-Cyrl-RS" w:eastAsia="en-GB"/>
              </w:rPr>
            </w:pPr>
            <w:r w:rsidRPr="009E2CE8">
              <w:rPr>
                <w:rFonts w:eastAsia="Times New Roman" w:cstheme="minorHAnsi"/>
                <w:color w:val="000000"/>
                <w:sz w:val="22"/>
                <w:szCs w:val="22"/>
                <w:lang w:val="sr-Cyrl-RS" w:eastAsia="en-GB"/>
              </w:rPr>
              <w:t>1</w:t>
            </w:r>
          </w:p>
        </w:tc>
        <w:tc>
          <w:tcPr>
            <w:tcW w:w="1080" w:type="dxa"/>
            <w:vAlign w:val="center"/>
            <w:hideMark/>
          </w:tcPr>
          <w:p w:rsidR="001A2BC7" w:rsidRPr="009E2CE8" w:rsidRDefault="001A2BC7"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szCs w:val="22"/>
                <w:lang w:val="en-GB" w:eastAsia="en-GB"/>
              </w:rPr>
            </w:pPr>
            <w:r w:rsidRPr="009E2CE8">
              <w:rPr>
                <w:rFonts w:eastAsia="Times New Roman" w:cstheme="minorHAnsi"/>
                <w:color w:val="000000"/>
                <w:sz w:val="22"/>
                <w:szCs w:val="22"/>
                <w:lang w:val="en-GB" w:eastAsia="en-GB"/>
              </w:rPr>
              <w:t>1</w:t>
            </w:r>
          </w:p>
        </w:tc>
        <w:tc>
          <w:tcPr>
            <w:tcW w:w="1080" w:type="dxa"/>
            <w:vAlign w:val="center"/>
            <w:hideMark/>
          </w:tcPr>
          <w:p w:rsidR="001A2BC7" w:rsidRPr="009E2CE8" w:rsidRDefault="001A2BC7"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szCs w:val="22"/>
                <w:lang w:val="en-GB" w:eastAsia="en-GB"/>
              </w:rPr>
            </w:pPr>
          </w:p>
        </w:tc>
      </w:tr>
      <w:tr w:rsidR="001A2BC7" w:rsidRPr="009E2CE8" w:rsidTr="00D20021">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1980" w:type="dxa"/>
            <w:vMerge w:val="restart"/>
            <w:vAlign w:val="center"/>
          </w:tcPr>
          <w:p w:rsidR="001A2BC7" w:rsidRPr="009E2CE8" w:rsidRDefault="001A2BC7" w:rsidP="007D66C4">
            <w:pPr>
              <w:rPr>
                <w:rFonts w:eastAsia="Times New Roman" w:cstheme="minorHAnsi"/>
                <w:b w:val="0"/>
                <w:color w:val="000000"/>
                <w:sz w:val="22"/>
                <w:szCs w:val="22"/>
                <w:lang w:val="sr-Cyrl-RS" w:eastAsia="en-GB"/>
              </w:rPr>
            </w:pPr>
            <w:r w:rsidRPr="009E2CE8">
              <w:rPr>
                <w:rFonts w:eastAsia="Times New Roman" w:cstheme="minorHAnsi"/>
                <w:b w:val="0"/>
                <w:color w:val="000000"/>
                <w:sz w:val="22"/>
                <w:szCs w:val="22"/>
                <w:lang w:val="sr-Cyrl-RS" w:eastAsia="en-GB"/>
              </w:rPr>
              <w:t>Запослени на неодређено вријеме</w:t>
            </w:r>
          </w:p>
        </w:tc>
        <w:tc>
          <w:tcPr>
            <w:tcW w:w="1165" w:type="dxa"/>
            <w:vMerge w:val="restart"/>
            <w:vAlign w:val="center"/>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szCs w:val="22"/>
                <w:lang w:val="en-GB" w:eastAsia="en-GB"/>
              </w:rPr>
            </w:pPr>
          </w:p>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szCs w:val="22"/>
                <w:lang w:val="sr-Cyrl-RS" w:eastAsia="en-GB"/>
              </w:rPr>
            </w:pPr>
            <w:r w:rsidRPr="009E2CE8">
              <w:rPr>
                <w:rFonts w:eastAsia="Times New Roman" w:cstheme="minorHAnsi"/>
                <w:color w:val="000000"/>
                <w:sz w:val="22"/>
                <w:szCs w:val="22"/>
                <w:lang w:val="sr-Cyrl-RS" w:eastAsia="en-GB"/>
              </w:rPr>
              <w:t>10</w:t>
            </w:r>
          </w:p>
        </w:tc>
        <w:tc>
          <w:tcPr>
            <w:tcW w:w="1953" w:type="dxa"/>
            <w:vAlign w:val="center"/>
          </w:tcPr>
          <w:p w:rsidR="001A2BC7" w:rsidRPr="009E2CE8" w:rsidRDefault="001A2BC7" w:rsidP="007D66C4">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szCs w:val="22"/>
                <w:lang w:val="en-GB" w:eastAsia="en-GB"/>
              </w:rPr>
            </w:pPr>
            <w:r w:rsidRPr="009E2CE8">
              <w:rPr>
                <w:rFonts w:eastAsia="Times New Roman" w:cstheme="minorHAnsi"/>
                <w:color w:val="000000"/>
                <w:sz w:val="22"/>
                <w:szCs w:val="22"/>
                <w:lang w:val="en-GB" w:eastAsia="en-GB"/>
              </w:rPr>
              <w:t>Доктор наука</w:t>
            </w:r>
          </w:p>
        </w:tc>
        <w:tc>
          <w:tcPr>
            <w:tcW w:w="1017" w:type="dxa"/>
            <w:vAlign w:val="center"/>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szCs w:val="22"/>
                <w:lang w:val="sr-Cyrl-RS" w:eastAsia="en-GB"/>
              </w:rPr>
            </w:pPr>
            <w:r w:rsidRPr="009E2CE8">
              <w:rPr>
                <w:rFonts w:eastAsia="Times New Roman" w:cstheme="minorHAnsi"/>
                <w:color w:val="000000"/>
                <w:sz w:val="22"/>
                <w:szCs w:val="22"/>
                <w:lang w:val="sr-Cyrl-RS" w:eastAsia="en-GB"/>
              </w:rPr>
              <w:t>1</w:t>
            </w:r>
          </w:p>
        </w:tc>
        <w:tc>
          <w:tcPr>
            <w:tcW w:w="1080" w:type="dxa"/>
            <w:vAlign w:val="center"/>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szCs w:val="22"/>
                <w:lang w:val="en-GB" w:eastAsia="en-GB"/>
              </w:rPr>
            </w:pPr>
          </w:p>
        </w:tc>
        <w:tc>
          <w:tcPr>
            <w:tcW w:w="1080" w:type="dxa"/>
            <w:vAlign w:val="center"/>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szCs w:val="22"/>
                <w:lang w:val="en-GB" w:eastAsia="en-GB"/>
              </w:rPr>
            </w:pPr>
            <w:r w:rsidRPr="009E2CE8">
              <w:rPr>
                <w:rFonts w:eastAsia="Times New Roman" w:cstheme="minorHAnsi"/>
                <w:color w:val="000000"/>
                <w:sz w:val="22"/>
                <w:szCs w:val="22"/>
                <w:lang w:val="en-GB" w:eastAsia="en-GB"/>
              </w:rPr>
              <w:t>1</w:t>
            </w:r>
          </w:p>
        </w:tc>
      </w:tr>
      <w:tr w:rsidR="001A2BC7" w:rsidRPr="009E2CE8" w:rsidTr="00D20021">
        <w:trPr>
          <w:trHeight w:val="456"/>
          <w:jc w:val="center"/>
        </w:trPr>
        <w:tc>
          <w:tcPr>
            <w:cnfStyle w:val="001000000000" w:firstRow="0" w:lastRow="0" w:firstColumn="1" w:lastColumn="0" w:oddVBand="0" w:evenVBand="0" w:oddHBand="0" w:evenHBand="0" w:firstRowFirstColumn="0" w:firstRowLastColumn="0" w:lastRowFirstColumn="0" w:lastRowLastColumn="0"/>
            <w:tcW w:w="1980" w:type="dxa"/>
            <w:vMerge/>
            <w:vAlign w:val="center"/>
          </w:tcPr>
          <w:p w:rsidR="001A2BC7" w:rsidRPr="009E2CE8" w:rsidRDefault="001A2BC7" w:rsidP="007D66C4">
            <w:pPr>
              <w:rPr>
                <w:rFonts w:eastAsia="Times New Roman" w:cstheme="minorHAnsi"/>
                <w:b w:val="0"/>
                <w:color w:val="000000"/>
                <w:sz w:val="22"/>
                <w:szCs w:val="22"/>
                <w:lang w:val="en-GB" w:eastAsia="en-GB"/>
              </w:rPr>
            </w:pPr>
          </w:p>
        </w:tc>
        <w:tc>
          <w:tcPr>
            <w:tcW w:w="1165" w:type="dxa"/>
            <w:vMerge/>
            <w:vAlign w:val="center"/>
          </w:tcPr>
          <w:p w:rsidR="001A2BC7" w:rsidRPr="009E2CE8" w:rsidRDefault="001A2BC7"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szCs w:val="22"/>
                <w:lang w:val="en-GB" w:eastAsia="en-GB"/>
              </w:rPr>
            </w:pPr>
          </w:p>
        </w:tc>
        <w:tc>
          <w:tcPr>
            <w:tcW w:w="1953" w:type="dxa"/>
            <w:vAlign w:val="center"/>
          </w:tcPr>
          <w:p w:rsidR="001A2BC7" w:rsidRPr="009E2CE8" w:rsidRDefault="001A2BC7" w:rsidP="007D66C4">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szCs w:val="22"/>
                <w:lang w:val="sr-Cyrl-RS" w:eastAsia="en-GB"/>
              </w:rPr>
            </w:pPr>
            <w:r w:rsidRPr="009E2CE8">
              <w:rPr>
                <w:rFonts w:eastAsia="Times New Roman" w:cstheme="minorHAnsi"/>
                <w:color w:val="000000"/>
                <w:sz w:val="22"/>
                <w:szCs w:val="22"/>
                <w:lang w:val="en-GB" w:eastAsia="en-GB"/>
              </w:rPr>
              <w:t>Магистар</w:t>
            </w:r>
            <w:r w:rsidRPr="009E2CE8">
              <w:rPr>
                <w:rFonts w:eastAsia="Times New Roman" w:cstheme="minorHAnsi"/>
                <w:color w:val="000000"/>
                <w:sz w:val="22"/>
                <w:szCs w:val="22"/>
                <w:lang w:val="sr-Cyrl-RS" w:eastAsia="en-GB"/>
              </w:rPr>
              <w:t>/мастер</w:t>
            </w:r>
          </w:p>
        </w:tc>
        <w:tc>
          <w:tcPr>
            <w:tcW w:w="1017" w:type="dxa"/>
            <w:vAlign w:val="center"/>
          </w:tcPr>
          <w:p w:rsidR="001A2BC7" w:rsidRPr="00D20021" w:rsidRDefault="00D20021"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szCs w:val="22"/>
                <w:lang w:val="sr-Cyrl-RS" w:eastAsia="en-GB"/>
              </w:rPr>
            </w:pPr>
            <w:r>
              <w:rPr>
                <w:rFonts w:eastAsia="Times New Roman" w:cstheme="minorHAnsi"/>
                <w:color w:val="000000"/>
                <w:sz w:val="22"/>
                <w:szCs w:val="22"/>
                <w:lang w:val="sr-Cyrl-RS" w:eastAsia="en-GB"/>
              </w:rPr>
              <w:t>4</w:t>
            </w:r>
          </w:p>
        </w:tc>
        <w:tc>
          <w:tcPr>
            <w:tcW w:w="1080" w:type="dxa"/>
            <w:vAlign w:val="center"/>
          </w:tcPr>
          <w:p w:rsidR="001A2BC7" w:rsidRPr="00D20021" w:rsidRDefault="00D20021"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szCs w:val="22"/>
                <w:lang w:val="sr-Cyrl-RS" w:eastAsia="en-GB"/>
              </w:rPr>
            </w:pPr>
            <w:r>
              <w:rPr>
                <w:rFonts w:eastAsia="Times New Roman" w:cstheme="minorHAnsi"/>
                <w:color w:val="000000"/>
                <w:sz w:val="22"/>
                <w:szCs w:val="22"/>
                <w:lang w:val="sr-Cyrl-RS" w:eastAsia="en-GB"/>
              </w:rPr>
              <w:t>3</w:t>
            </w:r>
          </w:p>
        </w:tc>
        <w:tc>
          <w:tcPr>
            <w:tcW w:w="1080" w:type="dxa"/>
            <w:vAlign w:val="center"/>
          </w:tcPr>
          <w:p w:rsidR="001A2BC7" w:rsidRPr="009E2CE8" w:rsidRDefault="001A2BC7"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szCs w:val="22"/>
                <w:lang w:val="en-GB" w:eastAsia="en-GB"/>
              </w:rPr>
            </w:pPr>
            <w:r w:rsidRPr="009E2CE8">
              <w:rPr>
                <w:rFonts w:eastAsia="Times New Roman" w:cstheme="minorHAnsi"/>
                <w:color w:val="000000"/>
                <w:sz w:val="22"/>
                <w:szCs w:val="22"/>
                <w:lang w:val="en-GB" w:eastAsia="en-GB"/>
              </w:rPr>
              <w:t>1</w:t>
            </w:r>
          </w:p>
        </w:tc>
      </w:tr>
      <w:tr w:rsidR="001A2BC7" w:rsidRPr="009E2CE8" w:rsidTr="00D20021">
        <w:trPr>
          <w:cnfStyle w:val="000000100000" w:firstRow="0" w:lastRow="0" w:firstColumn="0" w:lastColumn="0" w:oddVBand="0" w:evenVBand="0" w:oddHBand="1"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1980" w:type="dxa"/>
            <w:vMerge/>
            <w:vAlign w:val="center"/>
            <w:hideMark/>
          </w:tcPr>
          <w:p w:rsidR="001A2BC7" w:rsidRPr="009E2CE8" w:rsidRDefault="001A2BC7" w:rsidP="007D66C4">
            <w:pPr>
              <w:rPr>
                <w:rFonts w:eastAsia="Times New Roman" w:cstheme="minorHAnsi"/>
                <w:b w:val="0"/>
                <w:color w:val="000000"/>
                <w:sz w:val="22"/>
                <w:szCs w:val="22"/>
                <w:lang w:val="en-GB" w:eastAsia="en-GB"/>
              </w:rPr>
            </w:pPr>
          </w:p>
        </w:tc>
        <w:tc>
          <w:tcPr>
            <w:tcW w:w="1165" w:type="dxa"/>
            <w:vMerge/>
            <w:vAlign w:val="center"/>
            <w:hideMark/>
          </w:tcPr>
          <w:p w:rsidR="001A2BC7" w:rsidRPr="009E2CE8" w:rsidRDefault="001A2BC7" w:rsidP="007D66C4">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szCs w:val="22"/>
                <w:lang w:val="en-GB" w:eastAsia="en-GB"/>
              </w:rPr>
            </w:pPr>
          </w:p>
        </w:tc>
        <w:tc>
          <w:tcPr>
            <w:tcW w:w="1953" w:type="dxa"/>
            <w:vAlign w:val="center"/>
            <w:hideMark/>
          </w:tcPr>
          <w:p w:rsidR="001A2BC7" w:rsidRPr="009E2CE8" w:rsidRDefault="001A2BC7" w:rsidP="007D66C4">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szCs w:val="22"/>
                <w:lang w:val="en-GB" w:eastAsia="en-GB"/>
              </w:rPr>
            </w:pPr>
            <w:r w:rsidRPr="009E2CE8">
              <w:rPr>
                <w:rFonts w:eastAsia="Times New Roman" w:cstheme="minorHAnsi"/>
                <w:color w:val="000000"/>
                <w:sz w:val="22"/>
                <w:szCs w:val="22"/>
                <w:lang w:val="en-GB" w:eastAsia="en-GB"/>
              </w:rPr>
              <w:t>Висока стручна спрема</w:t>
            </w:r>
          </w:p>
        </w:tc>
        <w:tc>
          <w:tcPr>
            <w:tcW w:w="1017" w:type="dxa"/>
            <w:vAlign w:val="center"/>
            <w:hideMark/>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szCs w:val="22"/>
                <w:lang w:val="sr-Cyrl-RS" w:eastAsia="en-GB"/>
              </w:rPr>
            </w:pPr>
            <w:r w:rsidRPr="009E2CE8">
              <w:rPr>
                <w:rFonts w:eastAsia="Times New Roman" w:cstheme="minorHAnsi"/>
                <w:color w:val="000000"/>
                <w:sz w:val="22"/>
                <w:szCs w:val="22"/>
                <w:lang w:val="sr-Cyrl-RS" w:eastAsia="en-GB"/>
              </w:rPr>
              <w:t>6</w:t>
            </w:r>
          </w:p>
        </w:tc>
        <w:tc>
          <w:tcPr>
            <w:tcW w:w="1080" w:type="dxa"/>
            <w:vAlign w:val="center"/>
            <w:hideMark/>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szCs w:val="22"/>
                <w:lang w:val="sr-Cyrl-RS" w:eastAsia="en-GB"/>
              </w:rPr>
            </w:pPr>
            <w:r w:rsidRPr="009E2CE8">
              <w:rPr>
                <w:rFonts w:eastAsia="Times New Roman" w:cstheme="minorHAnsi"/>
                <w:color w:val="000000"/>
                <w:sz w:val="22"/>
                <w:szCs w:val="22"/>
                <w:lang w:val="sr-Cyrl-RS" w:eastAsia="en-GB"/>
              </w:rPr>
              <w:t>3</w:t>
            </w:r>
          </w:p>
        </w:tc>
        <w:tc>
          <w:tcPr>
            <w:tcW w:w="1080" w:type="dxa"/>
            <w:vAlign w:val="center"/>
            <w:hideMark/>
          </w:tcPr>
          <w:p w:rsidR="001A2BC7" w:rsidRPr="009E2CE8" w:rsidRDefault="001A2BC7" w:rsidP="007D66C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szCs w:val="22"/>
                <w:lang w:val="sr-Cyrl-RS" w:eastAsia="en-GB"/>
              </w:rPr>
            </w:pPr>
            <w:r w:rsidRPr="009E2CE8">
              <w:rPr>
                <w:rFonts w:eastAsia="Times New Roman" w:cstheme="minorHAnsi"/>
                <w:color w:val="000000"/>
                <w:sz w:val="22"/>
                <w:szCs w:val="22"/>
                <w:lang w:val="sr-Cyrl-RS" w:eastAsia="en-GB"/>
              </w:rPr>
              <w:t>2</w:t>
            </w:r>
          </w:p>
        </w:tc>
      </w:tr>
      <w:tr w:rsidR="001A2BC7" w:rsidRPr="009E2CE8" w:rsidTr="00D20021">
        <w:trPr>
          <w:trHeight w:val="452"/>
          <w:jc w:val="center"/>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rsidR="001A2BC7" w:rsidRPr="009E2CE8" w:rsidRDefault="001A2BC7" w:rsidP="007D66C4">
            <w:pPr>
              <w:rPr>
                <w:rFonts w:eastAsia="Times New Roman" w:cstheme="minorHAnsi"/>
                <w:b w:val="0"/>
                <w:bCs w:val="0"/>
                <w:color w:val="000000"/>
                <w:sz w:val="22"/>
                <w:szCs w:val="22"/>
                <w:lang w:val="en-GB" w:eastAsia="en-GB"/>
              </w:rPr>
            </w:pPr>
            <w:r w:rsidRPr="009E2CE8">
              <w:rPr>
                <w:rFonts w:eastAsia="Times New Roman" w:cstheme="minorHAnsi"/>
                <w:color w:val="000000"/>
                <w:sz w:val="22"/>
                <w:szCs w:val="22"/>
                <w:lang w:val="en-GB" w:eastAsia="en-GB"/>
              </w:rPr>
              <w:t xml:space="preserve">УКУПНО </w:t>
            </w:r>
          </w:p>
        </w:tc>
        <w:tc>
          <w:tcPr>
            <w:tcW w:w="1165" w:type="dxa"/>
            <w:vAlign w:val="center"/>
            <w:hideMark/>
          </w:tcPr>
          <w:p w:rsidR="001A2BC7" w:rsidRPr="009E2CE8" w:rsidRDefault="001A2BC7"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22"/>
                <w:szCs w:val="22"/>
                <w:lang w:val="sr-Cyrl-RS" w:eastAsia="en-GB"/>
              </w:rPr>
            </w:pPr>
            <w:r w:rsidRPr="009E2CE8">
              <w:rPr>
                <w:rFonts w:eastAsia="Times New Roman" w:cstheme="minorHAnsi"/>
                <w:b/>
                <w:bCs/>
                <w:color w:val="000000"/>
                <w:sz w:val="22"/>
                <w:szCs w:val="22"/>
                <w:lang w:val="sr-Cyrl-RS" w:eastAsia="en-GB"/>
              </w:rPr>
              <w:t>11</w:t>
            </w:r>
          </w:p>
        </w:tc>
        <w:tc>
          <w:tcPr>
            <w:tcW w:w="1953" w:type="dxa"/>
            <w:vAlign w:val="center"/>
            <w:hideMark/>
          </w:tcPr>
          <w:p w:rsidR="001A2BC7" w:rsidRPr="009E2CE8" w:rsidRDefault="001A2BC7"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szCs w:val="22"/>
                <w:lang w:val="en-GB" w:eastAsia="en-GB"/>
              </w:rPr>
            </w:pPr>
          </w:p>
        </w:tc>
        <w:tc>
          <w:tcPr>
            <w:tcW w:w="1017" w:type="dxa"/>
            <w:vAlign w:val="center"/>
            <w:hideMark/>
          </w:tcPr>
          <w:p w:rsidR="001A2BC7" w:rsidRPr="009E2CE8" w:rsidRDefault="001A2BC7"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000000"/>
                <w:sz w:val="22"/>
                <w:szCs w:val="22"/>
                <w:lang w:val="sr-Cyrl-RS" w:eastAsia="en-GB"/>
              </w:rPr>
            </w:pPr>
            <w:r w:rsidRPr="009E2CE8">
              <w:rPr>
                <w:rFonts w:eastAsia="Times New Roman" w:cstheme="minorHAnsi"/>
                <w:b/>
                <w:color w:val="000000"/>
                <w:sz w:val="22"/>
                <w:szCs w:val="22"/>
                <w:lang w:val="sr-Cyrl-RS" w:eastAsia="en-GB"/>
              </w:rPr>
              <w:t>11</w:t>
            </w:r>
          </w:p>
        </w:tc>
        <w:tc>
          <w:tcPr>
            <w:tcW w:w="1080" w:type="dxa"/>
            <w:vAlign w:val="center"/>
            <w:hideMark/>
          </w:tcPr>
          <w:p w:rsidR="001A2BC7" w:rsidRPr="009E2CE8" w:rsidRDefault="001A2BC7"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000000"/>
                <w:sz w:val="22"/>
                <w:szCs w:val="22"/>
                <w:lang w:val="sr-Cyrl-RS" w:eastAsia="en-GB"/>
              </w:rPr>
            </w:pPr>
            <w:r w:rsidRPr="009E2CE8">
              <w:rPr>
                <w:rFonts w:eastAsia="Times New Roman" w:cstheme="minorHAnsi"/>
                <w:b/>
                <w:color w:val="000000"/>
                <w:sz w:val="22"/>
                <w:szCs w:val="22"/>
                <w:lang w:val="sr-Cyrl-RS" w:eastAsia="en-GB"/>
              </w:rPr>
              <w:t>7</w:t>
            </w:r>
          </w:p>
        </w:tc>
        <w:tc>
          <w:tcPr>
            <w:tcW w:w="1080" w:type="dxa"/>
            <w:vAlign w:val="center"/>
            <w:hideMark/>
          </w:tcPr>
          <w:p w:rsidR="001A2BC7" w:rsidRPr="009E2CE8" w:rsidRDefault="001A2BC7" w:rsidP="007D66C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000000"/>
                <w:sz w:val="22"/>
                <w:szCs w:val="22"/>
                <w:lang w:val="sr-Cyrl-RS" w:eastAsia="en-GB"/>
              </w:rPr>
            </w:pPr>
            <w:r w:rsidRPr="009E2CE8">
              <w:rPr>
                <w:rFonts w:eastAsia="Times New Roman" w:cstheme="minorHAnsi"/>
                <w:b/>
                <w:color w:val="000000"/>
                <w:sz w:val="22"/>
                <w:szCs w:val="22"/>
                <w:lang w:val="sr-Cyrl-RS" w:eastAsia="en-GB"/>
              </w:rPr>
              <w:t>4</w:t>
            </w:r>
          </w:p>
        </w:tc>
      </w:tr>
    </w:tbl>
    <w:p w:rsidR="001A2BC7" w:rsidRPr="00D20021" w:rsidRDefault="001A2BC7" w:rsidP="001A2BC7">
      <w:pPr>
        <w:spacing w:before="240" w:line="276" w:lineRule="auto"/>
        <w:jc w:val="center"/>
        <w:rPr>
          <w:rFonts w:cstheme="minorHAnsi"/>
          <w:b/>
          <w:color w:val="323E4F" w:themeColor="text2" w:themeShade="BF"/>
          <w:sz w:val="22"/>
          <w:szCs w:val="22"/>
          <w:lang w:val="sr-Cyrl-RS"/>
        </w:rPr>
      </w:pPr>
      <w:r w:rsidRPr="00D20021">
        <w:rPr>
          <w:rFonts w:cstheme="minorHAnsi"/>
          <w:b/>
          <w:color w:val="323E4F" w:themeColor="text2" w:themeShade="BF"/>
          <w:sz w:val="22"/>
          <w:szCs w:val="22"/>
          <w:lang w:val="sr-Cyrl-RS"/>
        </w:rPr>
        <w:t>Табела 3. Структура запослених у Агенцији у 2024. години</w:t>
      </w:r>
    </w:p>
    <w:p w:rsidR="001A2BC7" w:rsidRPr="009E2CE8" w:rsidRDefault="001A2BC7" w:rsidP="001A2BC7">
      <w:pPr>
        <w:rPr>
          <w:sz w:val="20"/>
          <w:szCs w:val="20"/>
          <w:u w:val="single"/>
          <w:lang w:val="sr-Cyrl-RS"/>
        </w:rPr>
      </w:pPr>
    </w:p>
    <w:p w:rsidR="001A2BC7" w:rsidRPr="009E2CE8" w:rsidRDefault="001A2BC7" w:rsidP="001A2BC7">
      <w:pPr>
        <w:spacing w:line="276" w:lineRule="auto"/>
        <w:jc w:val="both"/>
        <w:rPr>
          <w:sz w:val="22"/>
          <w:szCs w:val="22"/>
          <w:lang w:val="sr-Cyrl-RS"/>
        </w:rPr>
      </w:pPr>
      <w:r w:rsidRPr="009E2CE8">
        <w:rPr>
          <w:sz w:val="22"/>
          <w:szCs w:val="22"/>
          <w:lang w:val="sr-Cyrl-RS"/>
        </w:rPr>
        <w:t>У складу са Финансијским планом Агенције и Планом јавних набавки за 2024. годину проведени  су поступци јавних набавки за набавку роба и услуга мале вриједности (директни поступци). Провођењем поступка јавних набавки је осигуран најефикаснији начин коришћења јавних средстава с обзиром на сврху и предмет набавке.  Уговори о јавној набавци су додијељени су складу са поступцима утврђеним Законом о јавним набавкама БиХ и подзаконским актима, те су предузете све потребне мјере како би се осигурала правична и активна конкуренција међу добављачима уз остваривање једнаког третмана, недискриминације и транспарентности.</w:t>
      </w:r>
    </w:p>
    <w:p w:rsidR="001A2BC7" w:rsidRPr="009E2CE8" w:rsidRDefault="001A2BC7" w:rsidP="001A2BC7">
      <w:pPr>
        <w:spacing w:line="276" w:lineRule="auto"/>
        <w:jc w:val="both"/>
        <w:rPr>
          <w:rFonts w:eastAsia="Calibri" w:cstheme="minorHAnsi"/>
          <w:sz w:val="16"/>
          <w:szCs w:val="16"/>
          <w:lang w:val="sr-Cyrl-BA"/>
        </w:rPr>
      </w:pPr>
    </w:p>
    <w:p w:rsidR="001A2BC7" w:rsidRPr="001552BB" w:rsidRDefault="001A2BC7" w:rsidP="001A2BC7">
      <w:pPr>
        <w:spacing w:line="276" w:lineRule="auto"/>
        <w:jc w:val="both"/>
        <w:rPr>
          <w:rFonts w:eastAsia="Calibri" w:cstheme="minorHAnsi"/>
          <w:sz w:val="22"/>
          <w:szCs w:val="22"/>
          <w:lang w:val="sr-Cyrl-BA"/>
        </w:rPr>
      </w:pPr>
      <w:r w:rsidRPr="009E2CE8">
        <w:rPr>
          <w:rFonts w:eastAsia="Calibri" w:cstheme="minorHAnsi"/>
          <w:sz w:val="22"/>
          <w:szCs w:val="22"/>
          <w:lang w:val="sr-Cyrl-BA"/>
        </w:rPr>
        <w:t xml:space="preserve">Агенција је током 2024. године редовно информисала јавност о актуелностима у раду Агенције.  Редовно је ажурирана интернет страница Агенције на којој су објављиване информације о свим важнијим догађајима и активности Агенције. </w:t>
      </w:r>
    </w:p>
    <w:p w:rsidR="001A2BC7" w:rsidRPr="00F5698A" w:rsidRDefault="001A2BC7" w:rsidP="000C3C72">
      <w:pPr>
        <w:rPr>
          <w:rFonts w:cstheme="minorHAnsi"/>
          <w:color w:val="323E4F" w:themeColor="text2" w:themeShade="BF"/>
          <w:sz w:val="22"/>
          <w:szCs w:val="22"/>
          <w:lang w:val="sr-Cyrl-RS"/>
        </w:rPr>
      </w:pPr>
    </w:p>
    <w:p w:rsidR="001A2BC7" w:rsidRPr="00905E3E" w:rsidRDefault="001A2BC7" w:rsidP="001A2BC7">
      <w:pPr>
        <w:pStyle w:val="a0"/>
        <w:numPr>
          <w:ilvl w:val="1"/>
          <w:numId w:val="20"/>
        </w:numPr>
        <w:tabs>
          <w:tab w:val="left" w:pos="993"/>
        </w:tabs>
        <w:ind w:hanging="76"/>
        <w:rPr>
          <w:rFonts w:asciiTheme="minorHAnsi" w:hAnsiTheme="minorHAnsi" w:cstheme="minorHAnsi"/>
          <w:color w:val="FF0000"/>
        </w:rPr>
      </w:pPr>
      <w:r w:rsidRPr="00F5698A">
        <w:rPr>
          <w:rFonts w:asciiTheme="minorHAnsi" w:hAnsiTheme="minorHAnsi" w:cstheme="minorHAnsi"/>
          <w:color w:val="323E4F" w:themeColor="text2" w:themeShade="BF"/>
          <w:sz w:val="22"/>
          <w:szCs w:val="22"/>
        </w:rPr>
        <w:t xml:space="preserve"> </w:t>
      </w:r>
      <w:bookmarkStart w:id="12" w:name="_Toc190682514"/>
      <w:r w:rsidRPr="00905E3E">
        <w:rPr>
          <w:rFonts w:asciiTheme="minorHAnsi" w:hAnsiTheme="minorHAnsi" w:cstheme="minorHAnsi"/>
          <w:color w:val="323E4F" w:themeColor="text2" w:themeShade="BF"/>
        </w:rPr>
        <w:t>РАД ОРГАНА И ТИЈЕЛА АГЕНЦИЈЕ</w:t>
      </w:r>
      <w:bookmarkEnd w:id="12"/>
      <w:r w:rsidRPr="00905E3E">
        <w:rPr>
          <w:rFonts w:asciiTheme="minorHAnsi" w:hAnsiTheme="minorHAnsi" w:cstheme="minorHAnsi"/>
          <w:color w:val="323E4F" w:themeColor="text2" w:themeShade="BF"/>
        </w:rPr>
        <w:t xml:space="preserve"> </w:t>
      </w:r>
    </w:p>
    <w:p w:rsidR="001A2BC7" w:rsidRPr="00346F00" w:rsidRDefault="001A2BC7" w:rsidP="000C3C72">
      <w:pPr>
        <w:spacing w:line="276" w:lineRule="auto"/>
        <w:jc w:val="both"/>
        <w:rPr>
          <w:rFonts w:eastAsia="Calibri" w:cstheme="minorHAnsi"/>
          <w:b/>
          <w:color w:val="323E4F" w:themeColor="text2" w:themeShade="BF"/>
          <w:sz w:val="20"/>
          <w:szCs w:val="20"/>
          <w:lang w:val="sr-Cyrl-RS"/>
        </w:rPr>
      </w:pPr>
    </w:p>
    <w:p w:rsidR="001A2BC7" w:rsidRPr="00905E3E" w:rsidRDefault="001A2BC7" w:rsidP="001A2BC7">
      <w:pPr>
        <w:pStyle w:val="a1"/>
        <w:numPr>
          <w:ilvl w:val="2"/>
          <w:numId w:val="20"/>
        </w:numPr>
        <w:tabs>
          <w:tab w:val="left" w:pos="993"/>
        </w:tabs>
        <w:spacing w:before="0"/>
        <w:ind w:left="567" w:hanging="283"/>
        <w:rPr>
          <w:rFonts w:asciiTheme="minorHAnsi" w:hAnsiTheme="minorHAnsi" w:cstheme="minorHAnsi"/>
          <w:color w:val="323E4F" w:themeColor="text2" w:themeShade="BF"/>
          <w:lang w:val="sr-Latn-RS"/>
        </w:rPr>
      </w:pPr>
      <w:r>
        <w:rPr>
          <w:lang w:val="sr-Latn-RS"/>
        </w:rPr>
        <w:t xml:space="preserve"> </w:t>
      </w:r>
      <w:r w:rsidRPr="00905E3E">
        <w:rPr>
          <w:rFonts w:asciiTheme="minorHAnsi" w:hAnsiTheme="minorHAnsi" w:cstheme="minorHAnsi"/>
          <w:color w:val="323E4F" w:themeColor="text2" w:themeShade="BF"/>
        </w:rPr>
        <w:t>У</w:t>
      </w:r>
      <w:r w:rsidRPr="00905E3E">
        <w:rPr>
          <w:rFonts w:asciiTheme="minorHAnsi" w:hAnsiTheme="minorHAnsi" w:cstheme="minorHAnsi"/>
          <w:color w:val="323E4F" w:themeColor="text2" w:themeShade="BF"/>
          <w:lang w:val="sr-Latn-RS"/>
        </w:rPr>
        <w:t>правни одбор</w:t>
      </w:r>
    </w:p>
    <w:p w:rsidR="001A2BC7" w:rsidRDefault="001A2BC7" w:rsidP="001A2BC7">
      <w:pPr>
        <w:rPr>
          <w:lang w:val="sr-Cyrl-BA"/>
        </w:rPr>
      </w:pPr>
    </w:p>
    <w:p w:rsidR="001A2BC7" w:rsidRPr="001B1D54" w:rsidRDefault="001A2BC7" w:rsidP="0094580A">
      <w:pPr>
        <w:spacing w:after="240" w:line="276" w:lineRule="auto"/>
        <w:jc w:val="both"/>
        <w:rPr>
          <w:rFonts w:eastAsia="Calibri" w:cstheme="minorHAnsi"/>
          <w:sz w:val="22"/>
          <w:szCs w:val="22"/>
          <w:lang w:val="sr-Cyrl-BA"/>
        </w:rPr>
      </w:pPr>
      <w:r w:rsidRPr="001B1D54">
        <w:rPr>
          <w:rFonts w:eastAsia="Calibri" w:cstheme="minorHAnsi"/>
          <w:sz w:val="22"/>
          <w:szCs w:val="22"/>
          <w:lang w:val="sr-Cyrl-BA"/>
        </w:rPr>
        <w:t xml:space="preserve">Управни одбор је орган управљања Агенцијом чије су надлежности прописане чланом </w:t>
      </w:r>
      <w:r w:rsidRPr="001B1D54">
        <w:rPr>
          <w:rFonts w:eastAsia="Calibri" w:cstheme="minorHAnsi"/>
          <w:sz w:val="22"/>
          <w:szCs w:val="22"/>
        </w:rPr>
        <w:t>10</w:t>
      </w:r>
      <w:r w:rsidRPr="001B1D54">
        <w:rPr>
          <w:rFonts w:eastAsia="Calibri" w:cstheme="minorHAnsi"/>
          <w:sz w:val="22"/>
          <w:szCs w:val="22"/>
          <w:lang w:val="sr-Cyrl-BA"/>
        </w:rPr>
        <w:t>. Закона</w:t>
      </w:r>
      <w:r w:rsidRPr="001B1D54">
        <w:rPr>
          <w:rFonts w:eastAsia="Calibri" w:cstheme="minorHAnsi"/>
          <w:sz w:val="22"/>
          <w:szCs w:val="22"/>
          <w:lang w:val="sr-Cyrl-RS"/>
        </w:rPr>
        <w:t xml:space="preserve"> о Агенцији за високо образовање Републике Српске</w:t>
      </w:r>
      <w:r w:rsidRPr="001B1D54">
        <w:rPr>
          <w:rFonts w:eastAsia="Calibri" w:cstheme="minorHAnsi"/>
          <w:sz w:val="22"/>
          <w:szCs w:val="22"/>
          <w:lang w:val="sr-Cyrl-BA"/>
        </w:rPr>
        <w:t xml:space="preserve">. Управни одбор има пет чланова: три представника академске заједнице Републике Српске, једног представника привреде и праксе и једног представника студената. </w:t>
      </w:r>
    </w:p>
    <w:p w:rsidR="001A2BC7" w:rsidRPr="001B1D54" w:rsidRDefault="001A2BC7" w:rsidP="0094580A">
      <w:pPr>
        <w:spacing w:after="240" w:line="276" w:lineRule="auto"/>
        <w:jc w:val="both"/>
        <w:rPr>
          <w:rFonts w:eastAsia="Calibri" w:cstheme="minorHAnsi"/>
          <w:sz w:val="22"/>
          <w:szCs w:val="22"/>
          <w:lang w:val="sr-Cyrl-BA"/>
        </w:rPr>
      </w:pPr>
      <w:r w:rsidRPr="001B1D54">
        <w:rPr>
          <w:rFonts w:eastAsia="Calibri" w:cstheme="minorHAnsi"/>
          <w:sz w:val="22"/>
          <w:szCs w:val="22"/>
          <w:lang w:val="sr-Cyrl-BA"/>
        </w:rPr>
        <w:t>Чланови Управн</w:t>
      </w:r>
      <w:r w:rsidRPr="001B1D54">
        <w:rPr>
          <w:rFonts w:eastAsia="Calibri" w:cstheme="minorHAnsi"/>
          <w:sz w:val="22"/>
          <w:szCs w:val="22"/>
          <w:lang w:val="sr-Cyrl-RS"/>
        </w:rPr>
        <w:t>ог</w:t>
      </w:r>
      <w:r w:rsidRPr="001B1D54">
        <w:rPr>
          <w:rFonts w:eastAsia="Calibri" w:cstheme="minorHAnsi"/>
          <w:sz w:val="22"/>
          <w:szCs w:val="22"/>
          <w:lang w:val="sr-Cyrl-BA"/>
        </w:rPr>
        <w:t xml:space="preserve"> одбора Агенције су:</w:t>
      </w:r>
    </w:p>
    <w:p w:rsidR="001A2BC7" w:rsidRPr="001B1D54" w:rsidRDefault="001A2BC7" w:rsidP="001A2BC7">
      <w:pPr>
        <w:pStyle w:val="ListParagraph"/>
        <w:numPr>
          <w:ilvl w:val="0"/>
          <w:numId w:val="5"/>
        </w:numPr>
        <w:spacing w:after="0"/>
        <w:rPr>
          <w:rFonts w:eastAsia="Calibri" w:cstheme="minorHAnsi"/>
          <w:lang w:val="sr-Cyrl-BA"/>
        </w:rPr>
      </w:pPr>
      <w:r w:rsidRPr="001B1D54">
        <w:rPr>
          <w:rFonts w:eastAsia="Calibri" w:cstheme="minorHAnsi"/>
          <w:lang w:val="sr-Cyrl-BA"/>
        </w:rPr>
        <w:t>из реда академске заједнице:</w:t>
      </w:r>
    </w:p>
    <w:p w:rsidR="001A2BC7" w:rsidRPr="001B1D54" w:rsidRDefault="001A2BC7" w:rsidP="001A2BC7">
      <w:pPr>
        <w:pStyle w:val="ListParagraph"/>
        <w:numPr>
          <w:ilvl w:val="0"/>
          <w:numId w:val="6"/>
        </w:numPr>
        <w:spacing w:after="0"/>
        <w:rPr>
          <w:rFonts w:eastAsia="Calibri" w:cstheme="minorHAnsi"/>
          <w:lang w:val="sr-Cyrl-BA"/>
        </w:rPr>
      </w:pPr>
      <w:r w:rsidRPr="001B1D54">
        <w:rPr>
          <w:rFonts w:eastAsia="Calibri" w:cstheme="minorHAnsi"/>
          <w:lang w:val="sr-Cyrl-BA"/>
        </w:rPr>
        <w:t>проф. др Маријана Каповић Соломун, предсједник Управног одбора</w:t>
      </w:r>
    </w:p>
    <w:p w:rsidR="001A2BC7" w:rsidRPr="001B1D54" w:rsidRDefault="001A2BC7" w:rsidP="001A2BC7">
      <w:pPr>
        <w:pStyle w:val="ListParagraph"/>
        <w:numPr>
          <w:ilvl w:val="0"/>
          <w:numId w:val="6"/>
        </w:numPr>
        <w:spacing w:after="0"/>
        <w:rPr>
          <w:rFonts w:eastAsia="Calibri" w:cstheme="minorHAnsi"/>
          <w:lang w:val="sr-Cyrl-BA"/>
        </w:rPr>
      </w:pPr>
      <w:r w:rsidRPr="001B1D54">
        <w:rPr>
          <w:rFonts w:eastAsia="Calibri" w:cstheme="minorHAnsi"/>
          <w:lang w:val="sr-Cyrl-BA"/>
        </w:rPr>
        <w:t>проф. др Дејан Бокоњић, члан и</w:t>
      </w:r>
    </w:p>
    <w:p w:rsidR="001A2BC7" w:rsidRPr="001B1D54" w:rsidRDefault="001A2BC7" w:rsidP="001A2BC7">
      <w:pPr>
        <w:pStyle w:val="ListParagraph"/>
        <w:numPr>
          <w:ilvl w:val="0"/>
          <w:numId w:val="6"/>
        </w:numPr>
        <w:spacing w:after="0"/>
        <w:rPr>
          <w:rFonts w:eastAsia="Calibri" w:cstheme="minorHAnsi"/>
          <w:lang w:val="sr-Cyrl-BA"/>
        </w:rPr>
      </w:pPr>
      <w:r w:rsidRPr="001B1D54">
        <w:rPr>
          <w:rFonts w:eastAsia="Calibri" w:cstheme="minorHAnsi"/>
          <w:lang w:val="sr-Cyrl-BA"/>
        </w:rPr>
        <w:t xml:space="preserve">доц. др Нина Сајић, члан </w:t>
      </w:r>
    </w:p>
    <w:p w:rsidR="001A2BC7" w:rsidRPr="001B1D54" w:rsidRDefault="001A2BC7" w:rsidP="001A2BC7">
      <w:pPr>
        <w:pStyle w:val="ListParagraph"/>
        <w:numPr>
          <w:ilvl w:val="0"/>
          <w:numId w:val="5"/>
        </w:numPr>
        <w:spacing w:after="0"/>
        <w:rPr>
          <w:rFonts w:eastAsia="Calibri" w:cstheme="minorHAnsi"/>
          <w:lang w:val="sr-Cyrl-BA"/>
        </w:rPr>
      </w:pPr>
      <w:r w:rsidRPr="001B1D54">
        <w:rPr>
          <w:rFonts w:eastAsia="Calibri" w:cstheme="minorHAnsi"/>
          <w:lang w:val="sr-Cyrl-BA"/>
        </w:rPr>
        <w:t>из реда привреде и праксе: Тамара Симић, дипломирани економиста, члан и</w:t>
      </w:r>
    </w:p>
    <w:p w:rsidR="001A2BC7" w:rsidRPr="001B1D54" w:rsidRDefault="001A2BC7" w:rsidP="001A2BC7">
      <w:pPr>
        <w:pStyle w:val="ListParagraph"/>
        <w:numPr>
          <w:ilvl w:val="0"/>
          <w:numId w:val="5"/>
        </w:numPr>
        <w:spacing w:after="0"/>
        <w:rPr>
          <w:rFonts w:eastAsia="Calibri" w:cstheme="minorHAnsi"/>
          <w:lang w:val="sr-Cyrl-BA"/>
        </w:rPr>
      </w:pPr>
      <w:r w:rsidRPr="001B1D54">
        <w:rPr>
          <w:rFonts w:eastAsia="Calibri" w:cstheme="minorHAnsi"/>
          <w:lang w:val="sr-Cyrl-BA"/>
        </w:rPr>
        <w:t>представник студената: Никола Шобот, члан.</w:t>
      </w:r>
      <w:r w:rsidRPr="001B1D54">
        <w:rPr>
          <w:rFonts w:eastAsia="Calibri" w:cstheme="minorHAnsi"/>
          <w:lang w:val="sr-Latn-RS"/>
        </w:rPr>
        <w:t xml:space="preserve"> </w:t>
      </w:r>
    </w:p>
    <w:p w:rsidR="001A2BC7" w:rsidRPr="001B1D54" w:rsidRDefault="001A2BC7" w:rsidP="001A2BC7">
      <w:pPr>
        <w:spacing w:line="276" w:lineRule="auto"/>
        <w:rPr>
          <w:rFonts w:eastAsia="Calibri" w:cstheme="minorHAnsi"/>
          <w:color w:val="FF0000"/>
          <w:sz w:val="22"/>
          <w:szCs w:val="22"/>
          <w:lang w:val="sr-Cyrl-BA"/>
        </w:rPr>
      </w:pPr>
    </w:p>
    <w:p w:rsidR="001A2BC7" w:rsidRPr="001B1D54" w:rsidRDefault="001A2BC7" w:rsidP="001A2BC7">
      <w:pPr>
        <w:spacing w:line="276" w:lineRule="auto"/>
        <w:jc w:val="both"/>
        <w:rPr>
          <w:rFonts w:eastAsia="Calibri" w:cstheme="minorHAnsi"/>
          <w:sz w:val="22"/>
          <w:szCs w:val="22"/>
          <w:lang w:val="sr-Cyrl-BA"/>
        </w:rPr>
      </w:pPr>
      <w:r w:rsidRPr="001B1D54">
        <w:rPr>
          <w:rFonts w:eastAsia="Calibri" w:cstheme="minorHAnsi"/>
          <w:sz w:val="22"/>
          <w:szCs w:val="22"/>
          <w:lang w:val="sr-Cyrl-BA"/>
        </w:rPr>
        <w:t xml:space="preserve">Управни одбор Aгенције </w:t>
      </w:r>
      <w:r w:rsidRPr="001B1D54">
        <w:rPr>
          <w:rFonts w:eastAsia="Calibri" w:cstheme="minorHAnsi"/>
          <w:sz w:val="22"/>
          <w:szCs w:val="22"/>
          <w:lang w:val="sr-Latn-RS"/>
        </w:rPr>
        <w:t xml:space="preserve">je </w:t>
      </w:r>
      <w:r w:rsidRPr="001B1D54">
        <w:rPr>
          <w:rFonts w:eastAsia="Calibri" w:cstheme="minorHAnsi"/>
          <w:sz w:val="22"/>
          <w:szCs w:val="22"/>
          <w:lang w:val="sr-Cyrl-BA"/>
        </w:rPr>
        <w:t xml:space="preserve">у 2024. години одржао шест </w:t>
      </w:r>
      <w:r w:rsidRPr="001B1D54">
        <w:rPr>
          <w:rFonts w:eastAsia="Calibri" w:cstheme="minorHAnsi"/>
          <w:sz w:val="22"/>
          <w:szCs w:val="22"/>
          <w:lang w:val="sr-Cyrl-RS"/>
        </w:rPr>
        <w:t>редовних</w:t>
      </w:r>
      <w:r w:rsidRPr="001B1D54">
        <w:rPr>
          <w:rFonts w:eastAsia="Calibri" w:cstheme="minorHAnsi"/>
          <w:sz w:val="22"/>
          <w:szCs w:val="22"/>
          <w:lang w:val="sr-Cyrl-BA"/>
        </w:rPr>
        <w:t xml:space="preserve"> сједница.  </w:t>
      </w:r>
    </w:p>
    <w:p w:rsidR="001A2BC7" w:rsidRPr="001B1D54" w:rsidRDefault="001A2BC7" w:rsidP="001D4727"/>
    <w:p w:rsidR="001A2BC7" w:rsidRPr="00905E3E" w:rsidRDefault="001A2BC7" w:rsidP="001A2BC7">
      <w:pPr>
        <w:pStyle w:val="a1"/>
        <w:numPr>
          <w:ilvl w:val="2"/>
          <w:numId w:val="20"/>
        </w:numPr>
        <w:tabs>
          <w:tab w:val="left" w:pos="993"/>
        </w:tabs>
        <w:spacing w:before="0"/>
        <w:ind w:hanging="436"/>
        <w:rPr>
          <w:rFonts w:asciiTheme="minorHAnsi" w:hAnsiTheme="minorHAnsi" w:cstheme="minorHAnsi"/>
          <w:color w:val="323E4F" w:themeColor="text2" w:themeShade="BF"/>
        </w:rPr>
      </w:pPr>
      <w:r w:rsidRPr="00905E3E">
        <w:rPr>
          <w:rFonts w:asciiTheme="minorHAnsi" w:hAnsiTheme="minorHAnsi" w:cstheme="minorHAnsi"/>
          <w:color w:val="323E4F" w:themeColor="text2" w:themeShade="BF"/>
        </w:rPr>
        <w:t>Акредитацијско вијеће</w:t>
      </w:r>
    </w:p>
    <w:p w:rsidR="001A2BC7" w:rsidRPr="001B1D54" w:rsidRDefault="001A2BC7" w:rsidP="001A2BC7">
      <w:pPr>
        <w:spacing w:line="276" w:lineRule="auto"/>
        <w:jc w:val="both"/>
        <w:rPr>
          <w:rFonts w:eastAsia="Calibri" w:cstheme="minorHAnsi"/>
          <w:b/>
          <w:color w:val="FF0000"/>
          <w:sz w:val="22"/>
          <w:szCs w:val="22"/>
          <w:lang w:val="sr-Cyrl-RS"/>
        </w:rPr>
      </w:pPr>
    </w:p>
    <w:p w:rsidR="001A2BC7" w:rsidRPr="001B1D54" w:rsidRDefault="001A2BC7" w:rsidP="0094580A">
      <w:pPr>
        <w:spacing w:after="240" w:line="276" w:lineRule="auto"/>
        <w:jc w:val="both"/>
        <w:rPr>
          <w:sz w:val="22"/>
          <w:szCs w:val="22"/>
          <w:lang w:val="sr-Cyrl-RS"/>
        </w:rPr>
      </w:pPr>
      <w:r w:rsidRPr="001B1D54">
        <w:rPr>
          <w:sz w:val="22"/>
          <w:szCs w:val="22"/>
          <w:lang w:val="sr-Cyrl-RS"/>
        </w:rPr>
        <w:t xml:space="preserve">Акредитацијско вијеће Агенције је стручно и савјетодавно тијело које у складу са чланом 17. </w:t>
      </w:r>
      <w:r w:rsidRPr="001B1D54">
        <w:rPr>
          <w:rFonts w:eastAsia="Calibri" w:cstheme="minorHAnsi"/>
          <w:sz w:val="22"/>
          <w:szCs w:val="22"/>
          <w:lang w:val="sr-Cyrl-BA"/>
        </w:rPr>
        <w:t>Закона</w:t>
      </w:r>
      <w:r w:rsidRPr="001B1D54">
        <w:rPr>
          <w:rFonts w:eastAsia="Calibri" w:cstheme="minorHAnsi"/>
          <w:sz w:val="22"/>
          <w:szCs w:val="22"/>
          <w:lang w:val="sr-Cyrl-RS"/>
        </w:rPr>
        <w:t xml:space="preserve"> о Агенцији за високо образовање Републике Српске</w:t>
      </w:r>
      <w:r w:rsidRPr="001B1D54">
        <w:rPr>
          <w:sz w:val="22"/>
          <w:szCs w:val="22"/>
          <w:lang w:val="sr-Cyrl-RS"/>
        </w:rPr>
        <w:t xml:space="preserve"> врши контролу усклађености поступака вањског вредновања са стандардима, критеријумима и општим актима Агенције. Вијеће има пет чланова и то: два представника академске заједнице РС/БиХ, два представника академске заједнице из иностранства и једног студента. </w:t>
      </w:r>
    </w:p>
    <w:p w:rsidR="001A2BC7" w:rsidRPr="001B1D54" w:rsidRDefault="001A2BC7" w:rsidP="001A2BC7">
      <w:pPr>
        <w:pStyle w:val="Default"/>
        <w:spacing w:line="276" w:lineRule="auto"/>
        <w:jc w:val="both"/>
        <w:rPr>
          <w:sz w:val="22"/>
          <w:szCs w:val="22"/>
          <w:lang w:val="sr-Cyrl-RS"/>
        </w:rPr>
      </w:pPr>
      <w:r w:rsidRPr="001B1D54">
        <w:rPr>
          <w:rFonts w:asciiTheme="minorHAnsi" w:eastAsiaTheme="minorEastAsia" w:hAnsiTheme="minorHAnsi" w:cstheme="minorHAnsi"/>
          <w:color w:val="auto"/>
          <w:sz w:val="22"/>
          <w:szCs w:val="22"/>
          <w:lang w:val="sr-Cyrl-RS" w:eastAsia="bs-Latn-BA"/>
        </w:rPr>
        <w:t>Акредитацијско вијеће Агенције је у 2024. години одржало 1</w:t>
      </w:r>
      <w:r w:rsidRPr="001B1D54">
        <w:rPr>
          <w:rFonts w:asciiTheme="minorHAnsi" w:eastAsiaTheme="minorEastAsia" w:hAnsiTheme="minorHAnsi" w:cstheme="minorHAnsi"/>
          <w:color w:val="auto"/>
          <w:sz w:val="22"/>
          <w:szCs w:val="22"/>
          <w:lang w:eastAsia="bs-Latn-BA"/>
        </w:rPr>
        <w:t>7</w:t>
      </w:r>
      <w:r w:rsidRPr="001B1D54">
        <w:rPr>
          <w:rFonts w:asciiTheme="minorHAnsi" w:eastAsiaTheme="minorEastAsia" w:hAnsiTheme="minorHAnsi" w:cstheme="minorHAnsi"/>
          <w:color w:val="auto"/>
          <w:sz w:val="22"/>
          <w:szCs w:val="22"/>
          <w:lang w:val="sr-Cyrl-RS" w:eastAsia="bs-Latn-BA"/>
        </w:rPr>
        <w:t xml:space="preserve"> сједница на којима је донесено </w:t>
      </w:r>
      <w:r w:rsidRPr="001B1D54">
        <w:rPr>
          <w:rFonts w:asciiTheme="minorHAnsi" w:eastAsiaTheme="minorEastAsia" w:hAnsiTheme="minorHAnsi" w:cstheme="minorHAnsi"/>
          <w:color w:val="auto"/>
          <w:sz w:val="22"/>
          <w:szCs w:val="22"/>
          <w:lang w:val="sr-Latn-RS" w:eastAsia="bs-Latn-BA"/>
        </w:rPr>
        <w:t>15</w:t>
      </w:r>
      <w:r w:rsidR="00F401EE">
        <w:rPr>
          <w:rFonts w:asciiTheme="minorHAnsi" w:eastAsiaTheme="minorEastAsia" w:hAnsiTheme="minorHAnsi" w:cstheme="minorHAnsi"/>
          <w:color w:val="auto"/>
          <w:sz w:val="22"/>
          <w:szCs w:val="22"/>
          <w:lang w:val="sr-Latn-RS" w:eastAsia="bs-Latn-BA"/>
        </w:rPr>
        <w:t xml:space="preserve"> </w:t>
      </w:r>
      <w:r w:rsidRPr="001B1D54">
        <w:rPr>
          <w:rFonts w:asciiTheme="minorHAnsi" w:eastAsiaTheme="minorEastAsia" w:hAnsiTheme="minorHAnsi" w:cstheme="minorHAnsi"/>
          <w:color w:val="auto"/>
          <w:sz w:val="22"/>
          <w:szCs w:val="22"/>
          <w:lang w:val="sr-Cyrl-RS" w:eastAsia="bs-Latn-BA"/>
        </w:rPr>
        <w:t xml:space="preserve">закључака о </w:t>
      </w:r>
      <w:r w:rsidR="000F36CE">
        <w:rPr>
          <w:rFonts w:asciiTheme="minorHAnsi" w:eastAsiaTheme="minorEastAsia" w:hAnsiTheme="minorHAnsi" w:cstheme="minorHAnsi"/>
          <w:color w:val="auto"/>
          <w:sz w:val="22"/>
          <w:szCs w:val="22"/>
          <w:lang w:val="sr-Cyrl-RS" w:eastAsia="bs-Latn-BA"/>
        </w:rPr>
        <w:t>(не)</w:t>
      </w:r>
      <w:r w:rsidRPr="001B1D54">
        <w:rPr>
          <w:rFonts w:asciiTheme="minorHAnsi" w:eastAsiaTheme="minorEastAsia" w:hAnsiTheme="minorHAnsi" w:cstheme="minorHAnsi"/>
          <w:color w:val="auto"/>
          <w:sz w:val="22"/>
          <w:szCs w:val="22"/>
          <w:lang w:val="sr-Cyrl-RS" w:eastAsia="bs-Latn-BA"/>
        </w:rPr>
        <w:t xml:space="preserve">усклађености поступака вањског вредновања са Правилником о акредитацији високошколских установа и студијских програма, Правилником о почетној акредитацији, </w:t>
      </w:r>
      <w:r w:rsidR="00D01AE2" w:rsidRPr="00D8009A">
        <w:rPr>
          <w:rFonts w:cstheme="minorHAnsi"/>
          <w:sz w:val="22"/>
          <w:szCs w:val="22"/>
          <w:lang w:val="sr-Cyrl-RS"/>
        </w:rPr>
        <w:t xml:space="preserve">Стандардима и смјерницама за обезбјеђење квалитета у </w:t>
      </w:r>
      <w:r w:rsidR="00D01AE2">
        <w:rPr>
          <w:rFonts w:cstheme="minorHAnsi"/>
          <w:sz w:val="22"/>
          <w:szCs w:val="22"/>
          <w:lang w:val="sr-Cyrl-RS"/>
        </w:rPr>
        <w:t>Е</w:t>
      </w:r>
      <w:r w:rsidR="00D01AE2" w:rsidRPr="00D8009A">
        <w:rPr>
          <w:rFonts w:cstheme="minorHAnsi"/>
          <w:sz w:val="22"/>
          <w:szCs w:val="22"/>
          <w:lang w:val="sr-Cyrl-RS"/>
        </w:rPr>
        <w:t>вропском простору високог образовања</w:t>
      </w:r>
      <w:r w:rsidRPr="001B1D54">
        <w:rPr>
          <w:rFonts w:asciiTheme="minorHAnsi" w:eastAsiaTheme="minorEastAsia" w:hAnsiTheme="minorHAnsi" w:cstheme="minorHAnsi"/>
          <w:color w:val="auto"/>
          <w:sz w:val="22"/>
          <w:szCs w:val="22"/>
          <w:lang w:val="sr-Cyrl-RS" w:eastAsia="bs-Latn-BA"/>
        </w:rPr>
        <w:t>, Критеријумима за акредитацију високошколских установа у Републици Српској и БиХ те Критеријумима за акредитацију студијских програма у Републици Српској и БиХ.  Закључци се односе на поступке вањског вредновања и то: шест закључака за вањско вредновање у сврху почетне акредитације (видјети Поглавље 3.2), девет закључка за вањско вредновање у сврху акредитације</w:t>
      </w:r>
      <w:r w:rsidR="00D01AE2">
        <w:rPr>
          <w:rFonts w:asciiTheme="minorHAnsi" w:eastAsiaTheme="minorEastAsia" w:hAnsiTheme="minorHAnsi" w:cstheme="minorHAnsi"/>
          <w:color w:val="auto"/>
          <w:sz w:val="22"/>
          <w:szCs w:val="22"/>
          <w:lang w:val="sr-Cyrl-RS" w:eastAsia="bs-Latn-BA"/>
        </w:rPr>
        <w:t xml:space="preserve"> (</w:t>
      </w:r>
      <w:r w:rsidR="00D01AE2" w:rsidRPr="001B1D54">
        <w:rPr>
          <w:rFonts w:asciiTheme="minorHAnsi" w:eastAsiaTheme="minorEastAsia" w:hAnsiTheme="minorHAnsi" w:cstheme="minorHAnsi"/>
          <w:color w:val="auto"/>
          <w:sz w:val="22"/>
          <w:szCs w:val="22"/>
          <w:lang w:val="sr-Cyrl-RS" w:eastAsia="bs-Latn-BA"/>
        </w:rPr>
        <w:t>видјети Поглавље 3.</w:t>
      </w:r>
      <w:r w:rsidR="00D01AE2">
        <w:rPr>
          <w:rFonts w:asciiTheme="minorHAnsi" w:eastAsiaTheme="minorEastAsia" w:hAnsiTheme="minorHAnsi" w:cstheme="minorHAnsi"/>
          <w:color w:val="auto"/>
          <w:sz w:val="22"/>
          <w:szCs w:val="22"/>
          <w:lang w:val="sr-Cyrl-RS" w:eastAsia="bs-Latn-BA"/>
        </w:rPr>
        <w:t>1</w:t>
      </w:r>
      <w:r w:rsidR="00D01AE2" w:rsidRPr="001B1D54">
        <w:rPr>
          <w:rFonts w:asciiTheme="minorHAnsi" w:eastAsiaTheme="minorEastAsia" w:hAnsiTheme="minorHAnsi" w:cstheme="minorHAnsi"/>
          <w:color w:val="auto"/>
          <w:sz w:val="22"/>
          <w:szCs w:val="22"/>
          <w:lang w:val="sr-Cyrl-RS" w:eastAsia="bs-Latn-BA"/>
        </w:rPr>
        <w:t xml:space="preserve">), </w:t>
      </w:r>
      <w:r w:rsidRPr="001B1D54">
        <w:rPr>
          <w:sz w:val="22"/>
          <w:szCs w:val="22"/>
          <w:lang w:val="sr-Cyrl-RS"/>
        </w:rPr>
        <w:t xml:space="preserve"> </w:t>
      </w:r>
      <w:r w:rsidR="00D01AE2">
        <w:rPr>
          <w:sz w:val="22"/>
          <w:szCs w:val="22"/>
          <w:lang w:val="sr-Cyrl-RS"/>
        </w:rPr>
        <w:t>док се на</w:t>
      </w:r>
      <w:r w:rsidRPr="001B1D54">
        <w:rPr>
          <w:sz w:val="22"/>
          <w:szCs w:val="22"/>
          <w:lang w:val="sr-Cyrl-RS"/>
        </w:rPr>
        <w:t xml:space="preserve"> двије</w:t>
      </w:r>
      <w:r w:rsidRPr="001B1D54">
        <w:rPr>
          <w:rFonts w:asciiTheme="minorHAnsi" w:eastAsiaTheme="minorEastAsia" w:hAnsiTheme="minorHAnsi" w:cstheme="minorBidi"/>
          <w:color w:val="auto"/>
          <w:sz w:val="22"/>
          <w:szCs w:val="22"/>
          <w:lang w:val="sr-Cyrl-RS" w:eastAsia="bs-Latn-BA"/>
        </w:rPr>
        <w:t xml:space="preserve"> сједнице Акредитацијско вијећ</w:t>
      </w:r>
      <w:r w:rsidR="00D01AE2">
        <w:rPr>
          <w:rFonts w:asciiTheme="minorHAnsi" w:eastAsiaTheme="minorEastAsia" w:hAnsiTheme="minorHAnsi" w:cstheme="minorBidi"/>
          <w:color w:val="auto"/>
          <w:sz w:val="22"/>
          <w:szCs w:val="22"/>
          <w:lang w:val="sr-Cyrl-RS" w:eastAsia="bs-Latn-BA"/>
        </w:rPr>
        <w:t>е</w:t>
      </w:r>
      <w:r w:rsidRPr="001B1D54">
        <w:rPr>
          <w:rFonts w:asciiTheme="minorHAnsi" w:eastAsiaTheme="minorEastAsia" w:hAnsiTheme="minorHAnsi" w:cstheme="minorBidi"/>
          <w:color w:val="auto"/>
          <w:sz w:val="22"/>
          <w:szCs w:val="22"/>
          <w:lang w:val="sr-Cyrl-RS" w:eastAsia="bs-Latn-BA"/>
        </w:rPr>
        <w:t xml:space="preserve"> изјашњава</w:t>
      </w:r>
      <w:r w:rsidR="00D01AE2">
        <w:rPr>
          <w:rFonts w:asciiTheme="minorHAnsi" w:eastAsiaTheme="minorEastAsia" w:hAnsiTheme="minorHAnsi" w:cstheme="minorBidi"/>
          <w:color w:val="auto"/>
          <w:sz w:val="22"/>
          <w:szCs w:val="22"/>
          <w:lang w:val="sr-Cyrl-RS" w:eastAsia="bs-Latn-BA"/>
        </w:rPr>
        <w:t>ло</w:t>
      </w:r>
      <w:r w:rsidRPr="001B1D54">
        <w:rPr>
          <w:rFonts w:asciiTheme="minorHAnsi" w:eastAsiaTheme="minorEastAsia" w:hAnsiTheme="minorHAnsi" w:cstheme="minorBidi"/>
          <w:color w:val="auto"/>
          <w:sz w:val="22"/>
          <w:szCs w:val="22"/>
          <w:lang w:val="sr-Cyrl-RS" w:eastAsia="bs-Latn-BA"/>
        </w:rPr>
        <w:t xml:space="preserve"> о приједлозима комисија стручњака.</w:t>
      </w:r>
    </w:p>
    <w:p w:rsidR="001A2BC7" w:rsidRPr="001B1D54" w:rsidRDefault="001A2BC7" w:rsidP="001A2BC7"/>
    <w:p w:rsidR="001A2BC7" w:rsidRPr="00905E3E" w:rsidRDefault="001A2BC7" w:rsidP="001A2BC7">
      <w:pPr>
        <w:pStyle w:val="a1"/>
        <w:numPr>
          <w:ilvl w:val="2"/>
          <w:numId w:val="20"/>
        </w:numPr>
        <w:tabs>
          <w:tab w:val="left" w:pos="993"/>
        </w:tabs>
        <w:spacing w:before="0"/>
        <w:ind w:hanging="436"/>
        <w:rPr>
          <w:rFonts w:asciiTheme="minorHAnsi" w:hAnsiTheme="minorHAnsi" w:cstheme="minorHAnsi"/>
          <w:color w:val="323E4F" w:themeColor="text2" w:themeShade="BF"/>
        </w:rPr>
      </w:pPr>
      <w:r w:rsidRPr="00905E3E">
        <w:rPr>
          <w:rFonts w:asciiTheme="minorHAnsi" w:hAnsiTheme="minorHAnsi" w:cstheme="minorHAnsi"/>
          <w:color w:val="323E4F" w:themeColor="text2" w:themeShade="BF"/>
        </w:rPr>
        <w:t xml:space="preserve">Одбор за жалбе и приговоре   </w:t>
      </w:r>
    </w:p>
    <w:p w:rsidR="001A2BC7" w:rsidRPr="001B1D54" w:rsidRDefault="001A2BC7" w:rsidP="001A2BC7">
      <w:pPr>
        <w:autoSpaceDE w:val="0"/>
        <w:autoSpaceDN w:val="0"/>
        <w:adjustRightInd w:val="0"/>
        <w:spacing w:line="276" w:lineRule="auto"/>
        <w:jc w:val="both"/>
        <w:rPr>
          <w:rFonts w:cstheme="minorHAnsi"/>
          <w:b/>
          <w:color w:val="FF0000"/>
          <w:sz w:val="22"/>
          <w:szCs w:val="22"/>
          <w:lang w:val="sr-Cyrl-RS"/>
        </w:rPr>
      </w:pPr>
    </w:p>
    <w:p w:rsidR="001A2BC7" w:rsidRPr="001B1D54" w:rsidRDefault="001A2BC7" w:rsidP="00905E3E">
      <w:pPr>
        <w:spacing w:after="240" w:line="276" w:lineRule="auto"/>
        <w:jc w:val="both"/>
        <w:rPr>
          <w:rFonts w:cstheme="minorHAnsi"/>
          <w:sz w:val="22"/>
          <w:szCs w:val="22"/>
          <w:lang w:val="sr-Cyrl-RS"/>
        </w:rPr>
      </w:pPr>
      <w:r w:rsidRPr="001B1D54">
        <w:rPr>
          <w:rFonts w:eastAsia="Calibri" w:cstheme="minorHAnsi"/>
          <w:sz w:val="22"/>
          <w:szCs w:val="22"/>
          <w:lang w:val="sr-Cyrl-RS"/>
        </w:rPr>
        <w:t>У</w:t>
      </w:r>
      <w:r w:rsidRPr="001B1D54">
        <w:rPr>
          <w:rFonts w:eastAsia="Calibri" w:cstheme="minorHAnsi"/>
          <w:sz w:val="22"/>
          <w:szCs w:val="22"/>
          <w:lang w:val="en-GB"/>
        </w:rPr>
        <w:t xml:space="preserve"> </w:t>
      </w:r>
      <w:r w:rsidRPr="001B1D54">
        <w:rPr>
          <w:rFonts w:eastAsia="Calibri" w:cstheme="minorHAnsi"/>
          <w:sz w:val="22"/>
          <w:szCs w:val="22"/>
          <w:lang w:val="sr-Cyrl-RS"/>
        </w:rPr>
        <w:t xml:space="preserve">складу са чланом 18. </w:t>
      </w:r>
      <w:r w:rsidRPr="001B1D54">
        <w:rPr>
          <w:rFonts w:eastAsia="Calibri" w:cstheme="minorHAnsi"/>
          <w:sz w:val="22"/>
          <w:szCs w:val="22"/>
          <w:lang w:val="sr-Cyrl-BA"/>
        </w:rPr>
        <w:t>Закона</w:t>
      </w:r>
      <w:r w:rsidRPr="001B1D54">
        <w:rPr>
          <w:rFonts w:eastAsia="Calibri" w:cstheme="minorHAnsi"/>
          <w:sz w:val="22"/>
          <w:szCs w:val="22"/>
          <w:lang w:val="sr-Cyrl-RS"/>
        </w:rPr>
        <w:t xml:space="preserve"> о Агенцији за високо образовање Републике Српске,  Одбор за жалбе и приговоре (у даљем тексту: Одбор) је стручно и савјетодавно тијело Агенције које разматра и даје мишљење о приговорима и жалбама високошколских установа, у складу са законима, Статутом и другим актима Агенције, те доноси мишљење о утемељености жалбе/приговора,</w:t>
      </w:r>
      <w:r w:rsidRPr="001B1D54">
        <w:rPr>
          <w:rFonts w:cstheme="minorHAnsi"/>
          <w:sz w:val="22"/>
          <w:szCs w:val="22"/>
          <w:lang w:val="sr-Cyrl-RS"/>
        </w:rPr>
        <w:t xml:space="preserve"> на основу којег Управни одбор доноси коначну одлуку по жалби/приговору. </w:t>
      </w:r>
      <w:r w:rsidRPr="001B1D54">
        <w:rPr>
          <w:rFonts w:eastAsia="Calibri" w:cstheme="minorHAnsi"/>
          <w:sz w:val="22"/>
          <w:szCs w:val="22"/>
          <w:lang w:val="sr-Cyrl-RS"/>
        </w:rPr>
        <w:t xml:space="preserve">У складу са Статутом Агенције, </w:t>
      </w:r>
      <w:r w:rsidR="00042636">
        <w:rPr>
          <w:rFonts w:eastAsia="Calibri" w:cstheme="minorHAnsi"/>
          <w:sz w:val="22"/>
          <w:szCs w:val="22"/>
          <w:lang w:val="sr-Cyrl-RS"/>
        </w:rPr>
        <w:t xml:space="preserve"> </w:t>
      </w:r>
      <w:r w:rsidRPr="001B1D54">
        <w:rPr>
          <w:rFonts w:eastAsia="Calibri" w:cstheme="minorHAnsi"/>
          <w:sz w:val="22"/>
          <w:szCs w:val="22"/>
          <w:lang w:val="sr-Cyrl-RS"/>
        </w:rPr>
        <w:t xml:space="preserve">Одбор има три члана: два представника академске заједнице, од којих је бар један стручњак из области права, и једног представника студената. Чланове </w:t>
      </w:r>
      <w:r w:rsidR="00042636">
        <w:rPr>
          <w:rFonts w:eastAsia="Calibri" w:cstheme="minorHAnsi"/>
          <w:sz w:val="22"/>
          <w:szCs w:val="22"/>
          <w:lang w:val="sr-Cyrl-RS"/>
        </w:rPr>
        <w:t>Одбора</w:t>
      </w:r>
      <w:r w:rsidRPr="001B1D54">
        <w:rPr>
          <w:rFonts w:eastAsia="Calibri" w:cstheme="minorHAnsi"/>
          <w:sz w:val="22"/>
          <w:szCs w:val="22"/>
          <w:lang w:val="sr-Cyrl-RS"/>
        </w:rPr>
        <w:t xml:space="preserve"> из реда академске заједнице именује Управни одбор, након спроведеног поступка јавне конкуренције, </w:t>
      </w:r>
      <w:r w:rsidR="00042636">
        <w:rPr>
          <w:rFonts w:eastAsia="Calibri" w:cstheme="minorHAnsi"/>
          <w:sz w:val="22"/>
          <w:szCs w:val="22"/>
          <w:lang w:val="sr-Cyrl-RS"/>
        </w:rPr>
        <w:t xml:space="preserve"> </w:t>
      </w:r>
      <w:r w:rsidRPr="001B1D54">
        <w:rPr>
          <w:rFonts w:eastAsia="Calibri" w:cstheme="minorHAnsi"/>
          <w:sz w:val="22"/>
          <w:szCs w:val="22"/>
          <w:lang w:val="sr-Cyrl-RS"/>
        </w:rPr>
        <w:t xml:space="preserve">док члана </w:t>
      </w:r>
      <w:r w:rsidR="00042636">
        <w:rPr>
          <w:rFonts w:eastAsia="Calibri" w:cstheme="minorHAnsi"/>
          <w:sz w:val="22"/>
          <w:szCs w:val="22"/>
          <w:lang w:val="sr-Cyrl-RS"/>
        </w:rPr>
        <w:t>Одбора</w:t>
      </w:r>
      <w:r w:rsidRPr="001B1D54">
        <w:rPr>
          <w:rFonts w:eastAsia="Calibri" w:cstheme="minorHAnsi"/>
          <w:sz w:val="22"/>
          <w:szCs w:val="22"/>
          <w:lang w:val="sr-Cyrl-RS"/>
        </w:rPr>
        <w:t xml:space="preserve"> из реда студената Управни одбор именује на приједлог Уније студената </w:t>
      </w:r>
      <w:r w:rsidRPr="001B1D54">
        <w:rPr>
          <w:rFonts w:cstheme="minorHAnsi"/>
          <w:sz w:val="22"/>
          <w:szCs w:val="22"/>
          <w:lang w:val="sr-Cyrl-RS"/>
        </w:rPr>
        <w:t>Републике Српске.</w:t>
      </w:r>
      <w:r w:rsidRPr="001B1D54">
        <w:rPr>
          <w:rFonts w:eastAsia="Calibri" w:cstheme="minorHAnsi"/>
          <w:sz w:val="22"/>
          <w:szCs w:val="22"/>
          <w:lang w:val="sr-Cyrl-RS"/>
        </w:rPr>
        <w:t xml:space="preserve"> </w:t>
      </w:r>
    </w:p>
    <w:p w:rsidR="001A2BC7" w:rsidRPr="001B1D54" w:rsidRDefault="001A2BC7" w:rsidP="00905E3E">
      <w:pPr>
        <w:pStyle w:val="NormalWeb"/>
        <w:shd w:val="clear" w:color="auto" w:fill="FFFFFF"/>
        <w:spacing w:before="0" w:beforeAutospacing="0" w:after="240" w:afterAutospacing="0" w:line="276" w:lineRule="auto"/>
        <w:jc w:val="both"/>
        <w:rPr>
          <w:rFonts w:asciiTheme="minorHAnsi" w:eastAsia="Calibri" w:hAnsiTheme="minorHAnsi" w:cstheme="minorHAnsi"/>
          <w:sz w:val="22"/>
          <w:szCs w:val="22"/>
          <w:lang w:val="sr-Cyrl-RS" w:eastAsia="en-US"/>
        </w:rPr>
      </w:pPr>
      <w:r w:rsidRPr="001B1D54">
        <w:rPr>
          <w:rFonts w:asciiTheme="minorHAnsi" w:eastAsia="Calibri" w:hAnsiTheme="minorHAnsi" w:cstheme="minorHAnsi"/>
          <w:sz w:val="22"/>
          <w:szCs w:val="22"/>
          <w:lang w:val="sr-Cyrl-RS" w:eastAsia="en-US"/>
        </w:rPr>
        <w:t xml:space="preserve">Чланови </w:t>
      </w:r>
      <w:r w:rsidR="00863127">
        <w:rPr>
          <w:rFonts w:asciiTheme="minorHAnsi" w:eastAsia="Calibri" w:hAnsiTheme="minorHAnsi" w:cstheme="minorHAnsi"/>
          <w:sz w:val="22"/>
          <w:szCs w:val="22"/>
          <w:lang w:val="sr-Cyrl-RS" w:eastAsia="en-US"/>
        </w:rPr>
        <w:t>Одбора</w:t>
      </w:r>
      <w:r w:rsidRPr="001B1D54">
        <w:rPr>
          <w:rFonts w:asciiTheme="minorHAnsi" w:eastAsia="Calibri" w:hAnsiTheme="minorHAnsi" w:cstheme="minorHAnsi"/>
          <w:sz w:val="22"/>
          <w:szCs w:val="22"/>
          <w:lang w:val="sr-Cyrl-RS" w:eastAsia="en-US"/>
        </w:rPr>
        <w:t xml:space="preserve"> за жалбе и приговоре су:</w:t>
      </w:r>
    </w:p>
    <w:p w:rsidR="001A2BC7" w:rsidRPr="001B1D54" w:rsidRDefault="001A2BC7" w:rsidP="001A2BC7">
      <w:pPr>
        <w:pStyle w:val="NormalWeb"/>
        <w:numPr>
          <w:ilvl w:val="3"/>
          <w:numId w:val="3"/>
        </w:numPr>
        <w:shd w:val="clear" w:color="auto" w:fill="FFFFFF"/>
        <w:spacing w:before="0" w:beforeAutospacing="0" w:after="0" w:afterAutospacing="0" w:line="276" w:lineRule="auto"/>
        <w:ind w:left="630" w:hanging="270"/>
        <w:jc w:val="both"/>
        <w:rPr>
          <w:rFonts w:asciiTheme="minorHAnsi" w:eastAsia="Calibri" w:hAnsiTheme="minorHAnsi" w:cstheme="minorHAnsi"/>
          <w:sz w:val="22"/>
          <w:szCs w:val="22"/>
          <w:lang w:val="sr-Cyrl-RS" w:eastAsia="en-US"/>
        </w:rPr>
      </w:pPr>
      <w:r w:rsidRPr="001B1D54">
        <w:rPr>
          <w:rFonts w:asciiTheme="minorHAnsi" w:eastAsia="Calibri" w:hAnsiTheme="minorHAnsi" w:cstheme="minorHAnsi"/>
          <w:sz w:val="22"/>
          <w:szCs w:val="22"/>
          <w:lang w:val="sr-Cyrl-RS" w:eastAsia="en-US"/>
        </w:rPr>
        <w:t>Проф. др Валерија Шаула, Правни факултет Универзитета у Бањој Луци</w:t>
      </w:r>
    </w:p>
    <w:p w:rsidR="001A2BC7" w:rsidRPr="001B1D54" w:rsidRDefault="001A2BC7" w:rsidP="001A2BC7">
      <w:pPr>
        <w:pStyle w:val="NormalWeb"/>
        <w:shd w:val="clear" w:color="auto" w:fill="FFFFFF"/>
        <w:spacing w:before="0" w:beforeAutospacing="0" w:after="0" w:afterAutospacing="0" w:line="276" w:lineRule="auto"/>
        <w:ind w:left="630"/>
        <w:jc w:val="both"/>
        <w:rPr>
          <w:rFonts w:asciiTheme="minorHAnsi" w:eastAsia="Calibri" w:hAnsiTheme="minorHAnsi" w:cstheme="minorHAnsi"/>
          <w:sz w:val="8"/>
          <w:szCs w:val="8"/>
          <w:lang w:val="sr-Cyrl-RS" w:eastAsia="en-US"/>
        </w:rPr>
      </w:pPr>
    </w:p>
    <w:p w:rsidR="001A2BC7" w:rsidRPr="001B1D54" w:rsidRDefault="001A2BC7" w:rsidP="001A2BC7">
      <w:pPr>
        <w:pStyle w:val="NormalWeb"/>
        <w:numPr>
          <w:ilvl w:val="3"/>
          <w:numId w:val="3"/>
        </w:numPr>
        <w:shd w:val="clear" w:color="auto" w:fill="FFFFFF"/>
        <w:spacing w:before="0" w:beforeAutospacing="0" w:after="0" w:afterAutospacing="0" w:line="276" w:lineRule="auto"/>
        <w:ind w:left="630" w:hanging="270"/>
        <w:jc w:val="both"/>
        <w:rPr>
          <w:rFonts w:asciiTheme="minorHAnsi" w:eastAsia="Calibri" w:hAnsiTheme="minorHAnsi" w:cstheme="minorHAnsi"/>
          <w:sz w:val="22"/>
          <w:szCs w:val="22"/>
          <w:lang w:val="sr-Cyrl-RS" w:eastAsia="en-US"/>
        </w:rPr>
      </w:pPr>
      <w:r w:rsidRPr="001B1D54">
        <w:rPr>
          <w:rFonts w:asciiTheme="minorHAnsi" w:eastAsia="Calibri" w:hAnsiTheme="minorHAnsi" w:cstheme="minorHAnsi"/>
          <w:sz w:val="22"/>
          <w:szCs w:val="22"/>
          <w:lang w:val="sr-Cyrl-RS" w:eastAsia="en-US"/>
        </w:rPr>
        <w:t xml:space="preserve">Доц. др Сања Голијанин, Правни факултет Универзитета у Источном Сарајеву, </w:t>
      </w:r>
    </w:p>
    <w:p w:rsidR="001A2BC7" w:rsidRPr="001B1D54" w:rsidRDefault="001A2BC7" w:rsidP="001A2BC7">
      <w:pPr>
        <w:pStyle w:val="NormalWeb"/>
        <w:shd w:val="clear" w:color="auto" w:fill="FFFFFF"/>
        <w:spacing w:before="0" w:beforeAutospacing="0" w:after="0" w:afterAutospacing="0" w:line="276" w:lineRule="auto"/>
        <w:jc w:val="both"/>
        <w:rPr>
          <w:rFonts w:asciiTheme="minorHAnsi" w:eastAsia="Calibri" w:hAnsiTheme="minorHAnsi" w:cstheme="minorHAnsi"/>
          <w:sz w:val="8"/>
          <w:szCs w:val="8"/>
          <w:lang w:val="sr-Cyrl-RS" w:eastAsia="en-US"/>
        </w:rPr>
      </w:pPr>
    </w:p>
    <w:p w:rsidR="001A2BC7" w:rsidRPr="001B1D54" w:rsidRDefault="001A2BC7" w:rsidP="001A2BC7">
      <w:pPr>
        <w:pStyle w:val="NormalWeb"/>
        <w:numPr>
          <w:ilvl w:val="3"/>
          <w:numId w:val="3"/>
        </w:numPr>
        <w:shd w:val="clear" w:color="auto" w:fill="FFFFFF"/>
        <w:spacing w:before="0" w:beforeAutospacing="0" w:after="0" w:afterAutospacing="0" w:line="276" w:lineRule="auto"/>
        <w:ind w:left="630" w:hanging="270"/>
        <w:jc w:val="both"/>
        <w:rPr>
          <w:rFonts w:asciiTheme="minorHAnsi" w:eastAsia="Calibri" w:hAnsiTheme="minorHAnsi" w:cstheme="minorHAnsi"/>
          <w:sz w:val="22"/>
          <w:szCs w:val="22"/>
          <w:lang w:val="sr-Cyrl-RS" w:eastAsia="en-US"/>
        </w:rPr>
      </w:pPr>
      <w:r w:rsidRPr="001B1D54">
        <w:rPr>
          <w:rFonts w:asciiTheme="minorHAnsi" w:eastAsia="Calibri" w:hAnsiTheme="minorHAnsi" w:cstheme="minorHAnsi"/>
          <w:sz w:val="22"/>
          <w:szCs w:val="22"/>
          <w:lang w:val="sr-Cyrl-RS" w:eastAsia="en-US"/>
        </w:rPr>
        <w:t>Никола Бојић, студент другог циклуса,  Универзитет у Бањој Луци.</w:t>
      </w:r>
    </w:p>
    <w:p w:rsidR="001A2BC7" w:rsidRPr="001B1D54" w:rsidRDefault="001A2BC7" w:rsidP="001A2BC7">
      <w:pPr>
        <w:autoSpaceDN w:val="0"/>
        <w:jc w:val="both"/>
        <w:rPr>
          <w:rFonts w:eastAsia="Times New Roman" w:cstheme="minorHAnsi"/>
          <w:sz w:val="16"/>
          <w:szCs w:val="16"/>
          <w:lang w:val="sr-Cyrl-RS" w:eastAsia="en-GB"/>
        </w:rPr>
      </w:pPr>
    </w:p>
    <w:p w:rsidR="001A2BC7" w:rsidRPr="00905E3E" w:rsidRDefault="00863127" w:rsidP="00905E3E">
      <w:pPr>
        <w:autoSpaceDN w:val="0"/>
        <w:spacing w:line="276" w:lineRule="auto"/>
        <w:jc w:val="both"/>
        <w:rPr>
          <w:rFonts w:eastAsia="Calibri" w:cstheme="minorHAnsi"/>
          <w:sz w:val="22"/>
          <w:szCs w:val="22"/>
          <w:lang w:val="sr-Cyrl-RS"/>
        </w:rPr>
        <w:sectPr w:rsidR="001A2BC7" w:rsidRPr="00905E3E" w:rsidSect="0008537D">
          <w:headerReference w:type="default" r:id="rId11"/>
          <w:footerReference w:type="default" r:id="rId12"/>
          <w:headerReference w:type="first" r:id="rId13"/>
          <w:footerReference w:type="first" r:id="rId14"/>
          <w:pgSz w:w="11900" w:h="16840"/>
          <w:pgMar w:top="852" w:right="1440" w:bottom="1440" w:left="1440" w:header="567" w:footer="567" w:gutter="0"/>
          <w:cols w:space="708"/>
          <w:titlePg/>
          <w:docGrid w:linePitch="360"/>
        </w:sectPr>
      </w:pPr>
      <w:r w:rsidRPr="00905E3E">
        <w:rPr>
          <w:rFonts w:eastAsia="Calibri" w:cstheme="minorHAnsi"/>
          <w:sz w:val="22"/>
          <w:szCs w:val="22"/>
          <w:lang w:val="sr-Cyrl-RS"/>
        </w:rPr>
        <w:t>Одбор</w:t>
      </w:r>
      <w:r w:rsidR="001A2BC7" w:rsidRPr="00905E3E">
        <w:rPr>
          <w:rFonts w:eastAsia="Calibri" w:cstheme="minorHAnsi"/>
          <w:sz w:val="22"/>
          <w:szCs w:val="22"/>
          <w:lang w:val="sr-Cyrl-RS"/>
        </w:rPr>
        <w:t xml:space="preserve"> је у 2024. години одржао четири редовне сједнице на којој су разматране жалбе високошколских установа и то: </w:t>
      </w:r>
      <w:r w:rsidRPr="00905E3E">
        <w:rPr>
          <w:rFonts w:eastAsia="Calibri" w:cstheme="minorHAnsi"/>
          <w:sz w:val="22"/>
          <w:szCs w:val="22"/>
          <w:lang w:val="sr-Cyrl-RS"/>
        </w:rPr>
        <w:t xml:space="preserve"> </w:t>
      </w:r>
      <w:r w:rsidR="001A2BC7" w:rsidRPr="00905E3E">
        <w:rPr>
          <w:rFonts w:eastAsia="Calibri" w:cstheme="minorHAnsi"/>
          <w:sz w:val="22"/>
          <w:szCs w:val="22"/>
          <w:lang w:val="sr-Cyrl-RS"/>
        </w:rPr>
        <w:t>Високе школе за прим</w:t>
      </w:r>
      <w:r w:rsidRPr="00905E3E">
        <w:rPr>
          <w:rFonts w:eastAsia="Calibri" w:cstheme="minorHAnsi"/>
          <w:sz w:val="22"/>
          <w:szCs w:val="22"/>
          <w:lang w:val="sr-Cyrl-RS"/>
        </w:rPr>
        <w:t>и</w:t>
      </w:r>
      <w:r w:rsidR="001A2BC7" w:rsidRPr="00905E3E">
        <w:rPr>
          <w:rFonts w:eastAsia="Calibri" w:cstheme="minorHAnsi"/>
          <w:sz w:val="22"/>
          <w:szCs w:val="22"/>
          <w:lang w:val="sr-Cyrl-RS"/>
        </w:rPr>
        <w:t xml:space="preserve">јењене и правне науке </w:t>
      </w:r>
      <w:r w:rsidR="00905E3E">
        <w:rPr>
          <w:rFonts w:eastAsia="Calibri" w:cstheme="minorHAnsi"/>
          <w:sz w:val="22"/>
          <w:szCs w:val="22"/>
          <w:lang w:val="sr-Cyrl-RS"/>
        </w:rPr>
        <w:t>„</w:t>
      </w:r>
      <w:r w:rsidR="001A2BC7" w:rsidRPr="00905E3E">
        <w:rPr>
          <w:rFonts w:eastAsia="Calibri" w:cstheme="minorHAnsi"/>
          <w:sz w:val="22"/>
          <w:szCs w:val="22"/>
          <w:lang w:val="sr-Cyrl-RS"/>
        </w:rPr>
        <w:t>Прометеј</w:t>
      </w:r>
      <w:r w:rsidR="00905E3E">
        <w:rPr>
          <w:rFonts w:eastAsia="Calibri" w:cstheme="minorHAnsi"/>
          <w:sz w:val="22"/>
          <w:szCs w:val="22"/>
          <w:lang w:val="sr-Cyrl-RS"/>
        </w:rPr>
        <w:t>“</w:t>
      </w:r>
      <w:r w:rsidR="001A2BC7" w:rsidRPr="00905E3E">
        <w:rPr>
          <w:rFonts w:eastAsia="Calibri" w:cstheme="minorHAnsi"/>
          <w:sz w:val="22"/>
          <w:szCs w:val="22"/>
          <w:lang w:val="sr-Cyrl-RS"/>
        </w:rPr>
        <w:t xml:space="preserve"> Бања Лука, Високе школе за економију и информатику Приједор</w:t>
      </w:r>
      <w:r w:rsidR="00905E3E" w:rsidRPr="00905E3E">
        <w:rPr>
          <w:rFonts w:eastAsia="Calibri" w:cstheme="minorHAnsi"/>
          <w:sz w:val="22"/>
          <w:szCs w:val="22"/>
          <w:lang w:val="sr-Cyrl-RS"/>
        </w:rPr>
        <w:t xml:space="preserve"> </w:t>
      </w:r>
      <w:r w:rsidRPr="00905E3E">
        <w:rPr>
          <w:rFonts w:eastAsia="Calibri" w:cstheme="minorHAnsi"/>
          <w:sz w:val="22"/>
          <w:szCs w:val="22"/>
          <w:lang w:val="sr-Cyrl-RS"/>
        </w:rPr>
        <w:t xml:space="preserve">и </w:t>
      </w:r>
      <w:r w:rsidR="001A2BC7" w:rsidRPr="00905E3E">
        <w:rPr>
          <w:rFonts w:eastAsia="Calibri" w:cstheme="minorHAnsi"/>
          <w:sz w:val="22"/>
          <w:szCs w:val="22"/>
          <w:lang w:val="sr-Cyrl-RS"/>
        </w:rPr>
        <w:t xml:space="preserve"> Независн</w:t>
      </w:r>
      <w:r w:rsidRPr="00905E3E">
        <w:rPr>
          <w:rFonts w:eastAsia="Calibri" w:cstheme="minorHAnsi"/>
          <w:sz w:val="22"/>
          <w:szCs w:val="22"/>
          <w:lang w:val="sr-Cyrl-RS"/>
        </w:rPr>
        <w:t xml:space="preserve">ог </w:t>
      </w:r>
      <w:r w:rsidR="001A2BC7" w:rsidRPr="00905E3E">
        <w:rPr>
          <w:rFonts w:eastAsia="Calibri" w:cstheme="minorHAnsi"/>
          <w:sz w:val="22"/>
          <w:szCs w:val="22"/>
          <w:lang w:val="sr-Cyrl-RS"/>
        </w:rPr>
        <w:t>универзит</w:t>
      </w:r>
      <w:r w:rsidRPr="00905E3E">
        <w:rPr>
          <w:rFonts w:eastAsia="Calibri" w:cstheme="minorHAnsi"/>
          <w:sz w:val="22"/>
          <w:szCs w:val="22"/>
          <w:lang w:val="sr-Cyrl-RS"/>
        </w:rPr>
        <w:t>а</w:t>
      </w:r>
      <w:r w:rsidR="001A2BC7" w:rsidRPr="00905E3E">
        <w:rPr>
          <w:rFonts w:eastAsia="Calibri" w:cstheme="minorHAnsi"/>
          <w:sz w:val="22"/>
          <w:szCs w:val="22"/>
          <w:lang w:val="sr-Cyrl-RS"/>
        </w:rPr>
        <w:t xml:space="preserve"> Бања Лука</w:t>
      </w:r>
      <w:r w:rsidRPr="00905E3E">
        <w:rPr>
          <w:rFonts w:eastAsia="Calibri" w:cstheme="minorHAnsi"/>
          <w:sz w:val="22"/>
          <w:szCs w:val="22"/>
          <w:lang w:val="sr-Cyrl-RS"/>
        </w:rPr>
        <w:t>.</w:t>
      </w:r>
    </w:p>
    <w:p w:rsidR="00D16746" w:rsidRPr="00C13664" w:rsidRDefault="00185C94" w:rsidP="004B7A77">
      <w:pPr>
        <w:pStyle w:val="a"/>
        <w:numPr>
          <w:ilvl w:val="0"/>
          <w:numId w:val="0"/>
        </w:numPr>
        <w:spacing w:line="276" w:lineRule="auto"/>
        <w:ind w:left="426" w:hanging="426"/>
        <w:rPr>
          <w:rFonts w:asciiTheme="minorHAnsi" w:hAnsiTheme="minorHAnsi" w:cstheme="minorHAnsi"/>
          <w:color w:val="FF0000"/>
        </w:rPr>
      </w:pPr>
      <w:bookmarkStart w:id="13" w:name="_Toc190682515"/>
      <w:r w:rsidRPr="00D5346A">
        <w:rPr>
          <w:rFonts w:asciiTheme="minorHAnsi" w:hAnsiTheme="minorHAnsi" w:cstheme="minorHAnsi"/>
          <w:color w:val="323E4F" w:themeColor="text2" w:themeShade="BF"/>
          <w:lang w:val="sr-Latn-RS"/>
        </w:rPr>
        <w:t xml:space="preserve">V </w:t>
      </w:r>
      <w:r w:rsidR="004B7A77" w:rsidRPr="00D5346A">
        <w:rPr>
          <w:rFonts w:asciiTheme="minorHAnsi" w:hAnsiTheme="minorHAnsi" w:cstheme="minorHAnsi"/>
          <w:color w:val="323E4F" w:themeColor="text2" w:themeShade="BF"/>
          <w:lang w:val="sr-Latn-RS"/>
        </w:rPr>
        <w:t xml:space="preserve">  </w:t>
      </w:r>
      <w:r w:rsidR="00D16746" w:rsidRPr="00D5346A">
        <w:rPr>
          <w:rFonts w:asciiTheme="minorHAnsi" w:hAnsiTheme="minorHAnsi" w:cstheme="minorHAnsi"/>
          <w:color w:val="323E4F" w:themeColor="text2" w:themeShade="BF"/>
        </w:rPr>
        <w:t>ФИНАНСИЈСКИ ИЗВЈЕШТАЈ</w:t>
      </w:r>
      <w:bookmarkEnd w:id="13"/>
      <w:r w:rsidR="00C13664">
        <w:rPr>
          <w:rFonts w:asciiTheme="minorHAnsi" w:hAnsiTheme="minorHAnsi" w:cstheme="minorHAnsi"/>
          <w:color w:val="323E4F" w:themeColor="text2" w:themeShade="BF"/>
        </w:rPr>
        <w:t xml:space="preserve"> </w:t>
      </w:r>
    </w:p>
    <w:p w:rsidR="00E3111E" w:rsidRDefault="00D16746" w:rsidP="00E3111E">
      <w:pPr>
        <w:rPr>
          <w:rFonts w:cstheme="minorHAnsi"/>
          <w:lang w:val="sr-Cyrl-BA"/>
        </w:rPr>
      </w:pPr>
      <w:r w:rsidRPr="005D1430">
        <w:rPr>
          <w:rFonts w:eastAsia="Calibri" w:cstheme="minorHAnsi"/>
          <w:sz w:val="22"/>
          <w:szCs w:val="22"/>
          <w:lang w:val="hr-BA"/>
        </w:rPr>
        <w:tab/>
      </w:r>
    </w:p>
    <w:p w:rsidR="00E3111E" w:rsidRDefault="00E3111E" w:rsidP="00E3111E">
      <w:pPr>
        <w:ind w:left="10080" w:firstLine="720"/>
        <w:rPr>
          <w:rFonts w:cstheme="minorHAnsi"/>
          <w:lang w:val="sr-Cyrl-BA"/>
        </w:rPr>
      </w:pPr>
    </w:p>
    <w:tbl>
      <w:tblPr>
        <w:tblStyle w:val="ListTable4-Accent5"/>
        <w:tblW w:w="12469" w:type="dxa"/>
        <w:jc w:val="center"/>
        <w:tblLayout w:type="fixed"/>
        <w:tblLook w:val="04A0" w:firstRow="1" w:lastRow="0" w:firstColumn="1" w:lastColumn="0" w:noHBand="0" w:noVBand="1"/>
      </w:tblPr>
      <w:tblGrid>
        <w:gridCol w:w="1231"/>
        <w:gridCol w:w="40"/>
        <w:gridCol w:w="5812"/>
        <w:gridCol w:w="1984"/>
        <w:gridCol w:w="1701"/>
        <w:gridCol w:w="1701"/>
      </w:tblGrid>
      <w:tr w:rsidR="00E3111E" w:rsidRPr="008E45AE" w:rsidTr="006C3BA9">
        <w:trPr>
          <w:cnfStyle w:val="100000000000" w:firstRow="1" w:lastRow="0" w:firstColumn="0" w:lastColumn="0" w:oddVBand="0" w:evenVBand="0" w:oddHBand="0" w:evenHBand="0" w:firstRowFirstColumn="0" w:firstRowLastColumn="0" w:lastRowFirstColumn="0" w:lastRowLastColumn="0"/>
          <w:trHeight w:val="709"/>
          <w:tblHeader/>
          <w:jc w:val="center"/>
        </w:trPr>
        <w:tc>
          <w:tcPr>
            <w:cnfStyle w:val="001000000000" w:firstRow="0" w:lastRow="0" w:firstColumn="1" w:lastColumn="0" w:oddVBand="0" w:evenVBand="0" w:oddHBand="0" w:evenHBand="0" w:firstRowFirstColumn="0" w:firstRowLastColumn="0" w:lastRowFirstColumn="0" w:lastRowLastColumn="0"/>
            <w:tcW w:w="1271" w:type="dxa"/>
            <w:gridSpan w:val="2"/>
          </w:tcPr>
          <w:p w:rsidR="00E3111E" w:rsidRPr="00960268" w:rsidRDefault="00E3111E" w:rsidP="0093237D">
            <w:pPr>
              <w:jc w:val="center"/>
              <w:rPr>
                <w:rFonts w:ascii="Calibri" w:hAnsi="Calibri" w:cs="Calibri"/>
                <w:sz w:val="22"/>
                <w:szCs w:val="22"/>
              </w:rPr>
            </w:pPr>
          </w:p>
        </w:tc>
        <w:tc>
          <w:tcPr>
            <w:tcW w:w="11198" w:type="dxa"/>
            <w:gridSpan w:val="4"/>
            <w:noWrap/>
            <w:vAlign w:val="center"/>
          </w:tcPr>
          <w:p w:rsidR="00E3111E" w:rsidRPr="008E45AE" w:rsidRDefault="00E3111E" w:rsidP="00717F07">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960268">
              <w:rPr>
                <w:rFonts w:ascii="Calibri" w:hAnsi="Calibri" w:cs="Calibri"/>
                <w:sz w:val="22"/>
                <w:szCs w:val="22"/>
              </w:rPr>
              <w:t xml:space="preserve">ФИНАНСИЈСКИ ИЗВЈЕШТАЈ </w:t>
            </w:r>
            <w:r>
              <w:rPr>
                <w:rFonts w:ascii="Calibri" w:hAnsi="Calibri" w:cs="Calibri"/>
                <w:sz w:val="22"/>
                <w:szCs w:val="22"/>
                <w:lang w:val="sr-Cyrl-RS"/>
              </w:rPr>
              <w:t xml:space="preserve">АГЕНЦИЈЕ </w:t>
            </w:r>
            <w:r w:rsidRPr="00960268">
              <w:rPr>
                <w:rFonts w:ascii="Calibri" w:hAnsi="Calibri" w:cs="Calibri"/>
                <w:sz w:val="22"/>
                <w:szCs w:val="22"/>
              </w:rPr>
              <w:t>ЗА 202</w:t>
            </w:r>
            <w:r w:rsidR="00717F07">
              <w:rPr>
                <w:rFonts w:ascii="Calibri" w:hAnsi="Calibri" w:cs="Calibri"/>
                <w:sz w:val="22"/>
                <w:szCs w:val="22"/>
                <w:lang w:val="sr-Cyrl-RS"/>
              </w:rPr>
              <w:t>4</w:t>
            </w:r>
            <w:r w:rsidRPr="00960268">
              <w:rPr>
                <w:rFonts w:ascii="Calibri" w:hAnsi="Calibri" w:cs="Calibri"/>
                <w:sz w:val="22"/>
                <w:szCs w:val="22"/>
              </w:rPr>
              <w:t>. ГОДИНУ</w:t>
            </w:r>
          </w:p>
        </w:tc>
      </w:tr>
      <w:tr w:rsidR="00E3111E" w:rsidRPr="008E45AE" w:rsidTr="0093237D">
        <w:trPr>
          <w:cnfStyle w:val="000000100000" w:firstRow="0" w:lastRow="0" w:firstColumn="0" w:lastColumn="0" w:oddVBand="0" w:evenVBand="0" w:oddHBand="1" w:evenHBand="0" w:firstRowFirstColumn="0" w:firstRowLastColumn="0" w:lastRowFirstColumn="0" w:lastRowLastColumn="0"/>
          <w:trHeight w:val="679"/>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tcPr>
          <w:p w:rsidR="00E3111E" w:rsidRPr="00AE0CAA" w:rsidRDefault="00E3111E" w:rsidP="0093237D">
            <w:pPr>
              <w:jc w:val="center"/>
              <w:rPr>
                <w:rFonts w:ascii="Calibri" w:eastAsia="Times New Roman" w:hAnsi="Calibri" w:cs="Calibri"/>
                <w:color w:val="000000"/>
                <w:sz w:val="22"/>
                <w:szCs w:val="22"/>
                <w:lang w:val="en-GB" w:eastAsia="en-GB"/>
              </w:rPr>
            </w:pPr>
            <w:r w:rsidRPr="008E45AE">
              <w:rPr>
                <w:rFonts w:ascii="Calibri" w:eastAsia="Times New Roman" w:hAnsi="Calibri" w:cs="Calibri"/>
                <w:color w:val="000000"/>
                <w:sz w:val="22"/>
                <w:szCs w:val="22"/>
                <w:lang w:val="en-GB" w:eastAsia="en-GB"/>
              </w:rPr>
              <w:t>Конто</w:t>
            </w:r>
          </w:p>
        </w:tc>
        <w:tc>
          <w:tcPr>
            <w:tcW w:w="5852" w:type="dxa"/>
            <w:gridSpan w:val="2"/>
            <w:noWrap/>
            <w:vAlign w:val="center"/>
          </w:tcPr>
          <w:p w:rsidR="00E3111E" w:rsidRPr="00AE0CAA" w:rsidRDefault="00E3111E" w:rsidP="0093237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color w:val="000000"/>
                <w:sz w:val="22"/>
                <w:szCs w:val="22"/>
                <w:lang w:val="en-GB" w:eastAsia="en-GB"/>
              </w:rPr>
            </w:pPr>
            <w:r w:rsidRPr="008E45AE">
              <w:rPr>
                <w:rFonts w:ascii="Calibri" w:eastAsia="Times New Roman" w:hAnsi="Calibri" w:cs="Calibri"/>
                <w:b/>
                <w:color w:val="000000"/>
                <w:sz w:val="22"/>
                <w:szCs w:val="22"/>
                <w:lang w:val="en-GB" w:eastAsia="en-GB"/>
              </w:rPr>
              <w:t>Назив конта</w:t>
            </w:r>
          </w:p>
        </w:tc>
        <w:tc>
          <w:tcPr>
            <w:tcW w:w="1984" w:type="dxa"/>
            <w:noWrap/>
            <w:vAlign w:val="center"/>
          </w:tcPr>
          <w:p w:rsidR="00E3111E" w:rsidRDefault="00E3111E" w:rsidP="0093237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color w:val="000000"/>
                <w:sz w:val="22"/>
                <w:szCs w:val="22"/>
                <w:lang w:val="sr-Cyrl-RS" w:eastAsia="en-GB"/>
              </w:rPr>
            </w:pPr>
            <w:r w:rsidRPr="00301530">
              <w:rPr>
                <w:rFonts w:ascii="Calibri" w:eastAsia="Times New Roman" w:hAnsi="Calibri" w:cs="Calibri"/>
                <w:b/>
                <w:color w:val="000000"/>
                <w:sz w:val="22"/>
                <w:szCs w:val="22"/>
                <w:lang w:val="sr-Cyrl-RS" w:eastAsia="en-GB"/>
              </w:rPr>
              <w:t>План/ребаланс</w:t>
            </w:r>
          </w:p>
          <w:p w:rsidR="00E3111E" w:rsidRPr="00B56460" w:rsidRDefault="00E3111E" w:rsidP="00932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6"/>
                <w:szCs w:val="6"/>
              </w:rPr>
            </w:pPr>
            <w:r w:rsidRPr="00B56460">
              <w:rPr>
                <w:rFonts w:ascii="Calibri" w:hAnsi="Calibri" w:cs="Calibri"/>
                <w:b/>
                <w:color w:val="000000"/>
                <w:sz w:val="6"/>
                <w:szCs w:val="6"/>
              </w:rPr>
              <w:t xml:space="preserve"> </w:t>
            </w:r>
          </w:p>
          <w:p w:rsidR="00E3111E" w:rsidRPr="00B56460" w:rsidRDefault="00E3111E" w:rsidP="006002A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0"/>
                <w:szCs w:val="20"/>
              </w:rPr>
            </w:pPr>
            <w:r w:rsidRPr="00B56460">
              <w:rPr>
                <w:rFonts w:ascii="Calibri" w:hAnsi="Calibri" w:cs="Calibri"/>
                <w:b/>
                <w:color w:val="000000"/>
                <w:sz w:val="20"/>
                <w:szCs w:val="20"/>
              </w:rPr>
              <w:t>(</w:t>
            </w:r>
            <w:r w:rsidRPr="00B56460">
              <w:rPr>
                <w:rFonts w:ascii="Calibri" w:hAnsi="Calibri" w:cs="Calibri"/>
                <w:b/>
                <w:color w:val="000000"/>
                <w:sz w:val="20"/>
                <w:szCs w:val="20"/>
                <w:lang w:val="sr-Cyrl-RS"/>
              </w:rPr>
              <w:t xml:space="preserve">буџет - </w:t>
            </w:r>
            <w:r w:rsidRPr="00B56460">
              <w:rPr>
                <w:rFonts w:ascii="Calibri" w:hAnsi="Calibri" w:cs="Calibri"/>
                <w:b/>
                <w:color w:val="000000"/>
                <w:sz w:val="20"/>
                <w:szCs w:val="20"/>
              </w:rPr>
              <w:t>6</w:t>
            </w:r>
            <w:r w:rsidR="006002A9">
              <w:rPr>
                <w:rFonts w:ascii="Calibri" w:hAnsi="Calibri" w:cs="Calibri"/>
                <w:b/>
                <w:color w:val="000000"/>
                <w:sz w:val="20"/>
                <w:szCs w:val="20"/>
                <w:lang w:val="sr-Cyrl-RS"/>
              </w:rPr>
              <w:t>5</w:t>
            </w:r>
            <w:r w:rsidRPr="00B56460">
              <w:rPr>
                <w:rFonts w:ascii="Calibri" w:hAnsi="Calibri" w:cs="Calibri"/>
                <w:b/>
                <w:color w:val="000000"/>
                <w:sz w:val="20"/>
                <w:szCs w:val="20"/>
              </w:rPr>
              <w:t>0.000</w:t>
            </w:r>
            <w:r w:rsidRPr="00B56460">
              <w:rPr>
                <w:rFonts w:ascii="Calibri" w:hAnsi="Calibri" w:cs="Calibri"/>
                <w:b/>
                <w:color w:val="000000"/>
                <w:sz w:val="20"/>
                <w:szCs w:val="20"/>
                <w:lang w:val="sr-Cyrl-RS"/>
              </w:rPr>
              <w:t xml:space="preserve"> КМ, </w:t>
            </w:r>
            <w:r w:rsidRPr="00B56460">
              <w:rPr>
                <w:rFonts w:ascii="Calibri" w:hAnsi="Calibri" w:cs="Calibri"/>
                <w:b/>
                <w:color w:val="000000"/>
                <w:sz w:val="20"/>
                <w:szCs w:val="20"/>
              </w:rPr>
              <w:t>властита средства</w:t>
            </w:r>
            <w:r w:rsidRPr="00B56460">
              <w:rPr>
                <w:rFonts w:ascii="Calibri" w:hAnsi="Calibri" w:cs="Calibri"/>
                <w:b/>
                <w:color w:val="000000"/>
                <w:sz w:val="20"/>
                <w:szCs w:val="20"/>
                <w:lang w:val="sr-Cyrl-RS"/>
              </w:rPr>
              <w:t xml:space="preserve"> - </w:t>
            </w:r>
            <w:r w:rsidRPr="00B56460">
              <w:rPr>
                <w:rFonts w:ascii="Calibri" w:hAnsi="Calibri" w:cs="Calibri"/>
                <w:b/>
                <w:color w:val="000000"/>
                <w:sz w:val="20"/>
                <w:szCs w:val="20"/>
              </w:rPr>
              <w:t xml:space="preserve">  </w:t>
            </w:r>
            <w:r w:rsidR="006002A9">
              <w:rPr>
                <w:rFonts w:ascii="Calibri" w:hAnsi="Calibri" w:cs="Calibri"/>
                <w:b/>
                <w:color w:val="000000"/>
                <w:sz w:val="20"/>
                <w:szCs w:val="20"/>
              </w:rPr>
              <w:t>175.846</w:t>
            </w:r>
            <w:r w:rsidR="006002A9">
              <w:rPr>
                <w:rFonts w:ascii="Calibri" w:hAnsi="Calibri" w:cs="Calibri"/>
                <w:b/>
                <w:color w:val="000000"/>
                <w:sz w:val="20"/>
                <w:szCs w:val="20"/>
                <w:lang w:val="sr-Cyrl-RS"/>
              </w:rPr>
              <w:t xml:space="preserve">,00 </w:t>
            </w:r>
            <w:r w:rsidRPr="00B56460">
              <w:rPr>
                <w:rFonts w:ascii="Calibri" w:hAnsi="Calibri" w:cs="Calibri"/>
                <w:b/>
                <w:color w:val="000000"/>
                <w:sz w:val="20"/>
                <w:szCs w:val="20"/>
                <w:lang w:val="sr-Cyrl-RS"/>
              </w:rPr>
              <w:t>КМ</w:t>
            </w:r>
            <w:r w:rsidRPr="00B56460">
              <w:rPr>
                <w:rFonts w:ascii="Calibri" w:hAnsi="Calibri" w:cs="Calibri"/>
                <w:b/>
                <w:color w:val="000000"/>
                <w:sz w:val="20"/>
                <w:szCs w:val="20"/>
              </w:rPr>
              <w:t>)</w:t>
            </w:r>
          </w:p>
        </w:tc>
        <w:tc>
          <w:tcPr>
            <w:tcW w:w="1701" w:type="dxa"/>
            <w:noWrap/>
            <w:vAlign w:val="center"/>
          </w:tcPr>
          <w:p w:rsidR="00E3111E" w:rsidRPr="00301530" w:rsidRDefault="00E3111E" w:rsidP="0093237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color w:val="000000"/>
                <w:sz w:val="22"/>
                <w:szCs w:val="22"/>
                <w:lang w:val="sr-Cyrl-RS" w:eastAsia="en-GB"/>
              </w:rPr>
            </w:pPr>
            <w:r w:rsidRPr="00301530">
              <w:rPr>
                <w:rFonts w:ascii="Calibri" w:eastAsia="Times New Roman" w:hAnsi="Calibri" w:cs="Calibri"/>
                <w:b/>
                <w:color w:val="000000"/>
                <w:sz w:val="22"/>
                <w:szCs w:val="22"/>
                <w:lang w:val="sr-Cyrl-RS" w:eastAsia="en-GB"/>
              </w:rPr>
              <w:t>Извршење</w:t>
            </w:r>
          </w:p>
        </w:tc>
        <w:tc>
          <w:tcPr>
            <w:tcW w:w="1701" w:type="dxa"/>
            <w:noWrap/>
            <w:vAlign w:val="center"/>
          </w:tcPr>
          <w:p w:rsidR="00E3111E" w:rsidRPr="00301530" w:rsidRDefault="00E3111E" w:rsidP="0093237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color w:val="000000"/>
                <w:sz w:val="22"/>
                <w:szCs w:val="22"/>
                <w:lang w:val="sr-Cyrl-RS" w:eastAsia="en-GB"/>
              </w:rPr>
            </w:pPr>
            <w:r w:rsidRPr="00301530">
              <w:rPr>
                <w:rFonts w:ascii="Calibri" w:eastAsia="Times New Roman" w:hAnsi="Calibri" w:cs="Calibri"/>
                <w:b/>
                <w:color w:val="000000"/>
                <w:sz w:val="22"/>
                <w:szCs w:val="22"/>
                <w:lang w:val="sr-Cyrl-RS" w:eastAsia="en-GB"/>
              </w:rPr>
              <w:t>Разлика</w:t>
            </w:r>
          </w:p>
        </w:tc>
      </w:tr>
      <w:tr w:rsidR="00E3111E" w:rsidRPr="008E45AE" w:rsidTr="0093237D">
        <w:trPr>
          <w:trHeight w:val="300"/>
          <w:jc w:val="center"/>
        </w:trPr>
        <w:tc>
          <w:tcPr>
            <w:cnfStyle w:val="001000000000" w:firstRow="0" w:lastRow="0" w:firstColumn="1" w:lastColumn="0" w:oddVBand="0" w:evenVBand="0" w:oddHBand="0" w:evenHBand="0" w:firstRowFirstColumn="0" w:firstRowLastColumn="0" w:lastRowFirstColumn="0" w:lastRowLastColumn="0"/>
            <w:tcW w:w="1231" w:type="dxa"/>
            <w:noWrap/>
            <w:hideMark/>
          </w:tcPr>
          <w:p w:rsidR="00E3111E" w:rsidRPr="008E45AE" w:rsidRDefault="00E3111E" w:rsidP="0093237D">
            <w:pPr>
              <w:jc w:val="center"/>
              <w:rPr>
                <w:rFonts w:ascii="Calibri" w:eastAsia="Times New Roman" w:hAnsi="Calibri" w:cs="Calibri"/>
                <w:b w:val="0"/>
                <w:color w:val="000000"/>
                <w:sz w:val="22"/>
                <w:szCs w:val="22"/>
                <w:lang w:val="en-GB" w:eastAsia="en-GB"/>
              </w:rPr>
            </w:pPr>
            <w:r w:rsidRPr="008E45AE">
              <w:rPr>
                <w:rFonts w:ascii="Calibri" w:eastAsia="Times New Roman" w:hAnsi="Calibri" w:cs="Calibri"/>
                <w:b w:val="0"/>
                <w:color w:val="000000"/>
                <w:sz w:val="22"/>
                <w:szCs w:val="22"/>
                <w:lang w:val="en-GB" w:eastAsia="en-GB"/>
              </w:rPr>
              <w:t>1</w:t>
            </w:r>
          </w:p>
        </w:tc>
        <w:tc>
          <w:tcPr>
            <w:tcW w:w="5852" w:type="dxa"/>
            <w:gridSpan w:val="2"/>
            <w:noWrap/>
            <w:hideMark/>
          </w:tcPr>
          <w:p w:rsidR="00E3111E" w:rsidRPr="008E45AE" w:rsidRDefault="00E3111E" w:rsidP="0093237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lang w:val="en-GB" w:eastAsia="en-GB"/>
              </w:rPr>
            </w:pPr>
            <w:r w:rsidRPr="008E45AE">
              <w:rPr>
                <w:rFonts w:ascii="Calibri" w:eastAsia="Times New Roman" w:hAnsi="Calibri" w:cs="Calibri"/>
                <w:color w:val="000000"/>
                <w:sz w:val="22"/>
                <w:szCs w:val="22"/>
                <w:lang w:val="en-GB" w:eastAsia="en-GB"/>
              </w:rPr>
              <w:t>2</w:t>
            </w:r>
          </w:p>
        </w:tc>
        <w:tc>
          <w:tcPr>
            <w:tcW w:w="1984" w:type="dxa"/>
            <w:noWrap/>
            <w:hideMark/>
          </w:tcPr>
          <w:p w:rsidR="00E3111E" w:rsidRPr="008E45AE" w:rsidRDefault="00E3111E" w:rsidP="0093237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GB" w:eastAsia="en-GB"/>
              </w:rPr>
            </w:pPr>
            <w:r w:rsidRPr="008E45AE">
              <w:rPr>
                <w:rFonts w:ascii="Calibri" w:eastAsia="Times New Roman" w:hAnsi="Calibri" w:cs="Calibri"/>
                <w:sz w:val="20"/>
                <w:szCs w:val="20"/>
                <w:lang w:val="en-GB" w:eastAsia="en-GB"/>
              </w:rPr>
              <w:t>3</w:t>
            </w:r>
          </w:p>
        </w:tc>
        <w:tc>
          <w:tcPr>
            <w:tcW w:w="1701" w:type="dxa"/>
            <w:noWrap/>
            <w:hideMark/>
          </w:tcPr>
          <w:p w:rsidR="00E3111E" w:rsidRPr="001A103D" w:rsidRDefault="00E3111E" w:rsidP="0093237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sr-Latn-RS" w:eastAsia="en-GB"/>
              </w:rPr>
            </w:pPr>
            <w:r>
              <w:rPr>
                <w:rFonts w:ascii="Calibri" w:eastAsia="Times New Roman" w:hAnsi="Calibri" w:cs="Calibri"/>
                <w:sz w:val="20"/>
                <w:szCs w:val="20"/>
                <w:lang w:val="sr-Latn-RS" w:eastAsia="en-GB"/>
              </w:rPr>
              <w:t>4</w:t>
            </w:r>
          </w:p>
        </w:tc>
        <w:tc>
          <w:tcPr>
            <w:tcW w:w="1701" w:type="dxa"/>
            <w:noWrap/>
            <w:hideMark/>
          </w:tcPr>
          <w:p w:rsidR="00E3111E" w:rsidRPr="00301530" w:rsidRDefault="00E3111E" w:rsidP="0093237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sr-Cyrl-RS" w:eastAsia="en-GB"/>
              </w:rPr>
            </w:pPr>
            <w:r>
              <w:rPr>
                <w:rFonts w:ascii="Calibri" w:eastAsia="Times New Roman" w:hAnsi="Calibri" w:cs="Calibri"/>
                <w:sz w:val="20"/>
                <w:szCs w:val="20"/>
                <w:lang w:val="sr-Latn-RS" w:eastAsia="en-GB"/>
              </w:rPr>
              <w:t>5</w:t>
            </w:r>
            <w:r w:rsidRPr="008E45AE">
              <w:rPr>
                <w:rFonts w:ascii="Calibri" w:eastAsia="Times New Roman" w:hAnsi="Calibri" w:cs="Calibri"/>
                <w:sz w:val="20"/>
                <w:szCs w:val="20"/>
                <w:lang w:val="en-GB" w:eastAsia="en-GB"/>
              </w:rPr>
              <w:t>=3</w:t>
            </w:r>
            <w:r>
              <w:rPr>
                <w:rFonts w:ascii="Calibri" w:eastAsia="Times New Roman" w:hAnsi="Calibri" w:cs="Calibri"/>
                <w:sz w:val="20"/>
                <w:szCs w:val="20"/>
                <w:lang w:val="en-GB" w:eastAsia="en-GB"/>
              </w:rPr>
              <w:t>-4</w:t>
            </w:r>
          </w:p>
        </w:tc>
      </w:tr>
      <w:tr w:rsidR="006002A9" w:rsidRPr="008E45AE" w:rsidTr="006002A9">
        <w:trPr>
          <w:cnfStyle w:val="000000100000" w:firstRow="0" w:lastRow="0" w:firstColumn="0" w:lastColumn="0" w:oddVBand="0" w:evenVBand="0" w:oddHBand="1" w:evenHBand="0" w:firstRowFirstColumn="0" w:firstRowLastColumn="0" w:lastRowFirstColumn="0" w:lastRowLastColumn="0"/>
          <w:trHeight w:val="449"/>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tcPr>
          <w:p w:rsidR="006002A9" w:rsidRPr="00B62348" w:rsidRDefault="006002A9" w:rsidP="006002A9">
            <w:pPr>
              <w:jc w:val="center"/>
              <w:rPr>
                <w:rFonts w:ascii="Calibri" w:eastAsia="Times New Roman" w:hAnsi="Calibri" w:cs="Calibri"/>
                <w:color w:val="000000"/>
                <w:sz w:val="20"/>
                <w:szCs w:val="20"/>
                <w:lang w:val="en-GB" w:eastAsia="en-GB"/>
              </w:rPr>
            </w:pPr>
            <w:r w:rsidRPr="00B62348">
              <w:rPr>
                <w:rFonts w:ascii="Calibri" w:eastAsia="Times New Roman" w:hAnsi="Calibri" w:cs="Calibri"/>
                <w:color w:val="000000"/>
                <w:sz w:val="20"/>
                <w:szCs w:val="20"/>
                <w:lang w:val="en-GB" w:eastAsia="en-GB"/>
              </w:rPr>
              <w:t>41000</w:t>
            </w:r>
            <w:r>
              <w:rPr>
                <w:rFonts w:ascii="Calibri" w:eastAsia="Times New Roman" w:hAnsi="Calibri" w:cs="Calibri"/>
                <w:color w:val="000000"/>
                <w:sz w:val="20"/>
                <w:szCs w:val="20"/>
                <w:lang w:val="en-GB" w:eastAsia="en-GB"/>
              </w:rPr>
              <w:t>0</w:t>
            </w:r>
          </w:p>
        </w:tc>
        <w:tc>
          <w:tcPr>
            <w:tcW w:w="5852" w:type="dxa"/>
            <w:gridSpan w:val="2"/>
            <w:noWrap/>
            <w:vAlign w:val="center"/>
          </w:tcPr>
          <w:p w:rsidR="006002A9" w:rsidRPr="002100F7" w:rsidRDefault="006002A9" w:rsidP="006002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color w:val="000000"/>
                <w:sz w:val="22"/>
                <w:szCs w:val="22"/>
                <w:lang w:val="sr-Cyrl-RS" w:eastAsia="en-GB"/>
              </w:rPr>
            </w:pPr>
            <w:r w:rsidRPr="002100F7">
              <w:rPr>
                <w:rFonts w:ascii="Calibri" w:eastAsia="Times New Roman" w:hAnsi="Calibri" w:cs="Calibri"/>
                <w:b/>
                <w:color w:val="000000"/>
                <w:sz w:val="22"/>
                <w:szCs w:val="22"/>
                <w:lang w:val="sr-Cyrl-RS" w:eastAsia="en-GB"/>
              </w:rPr>
              <w:t>Текући расходи</w:t>
            </w:r>
          </w:p>
        </w:tc>
        <w:tc>
          <w:tcPr>
            <w:tcW w:w="1984" w:type="dxa"/>
            <w:noWrap/>
            <w:vAlign w:val="center"/>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i/>
                <w:color w:val="000000"/>
                <w:sz w:val="20"/>
                <w:szCs w:val="20"/>
              </w:rPr>
            </w:pPr>
            <w:r w:rsidRPr="000522C4">
              <w:rPr>
                <w:rFonts w:ascii="Calibri" w:hAnsi="Calibri" w:cs="Calibri"/>
                <w:b/>
                <w:bCs/>
                <w:i/>
                <w:color w:val="000000"/>
                <w:sz w:val="20"/>
                <w:szCs w:val="20"/>
              </w:rPr>
              <w:t>797.826,00</w:t>
            </w:r>
          </w:p>
        </w:tc>
        <w:tc>
          <w:tcPr>
            <w:tcW w:w="1701" w:type="dxa"/>
            <w:noWrap/>
            <w:vAlign w:val="center"/>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i/>
                <w:color w:val="000000"/>
                <w:sz w:val="20"/>
                <w:szCs w:val="20"/>
              </w:rPr>
            </w:pPr>
            <w:r w:rsidRPr="000522C4">
              <w:rPr>
                <w:rFonts w:ascii="Calibri" w:hAnsi="Calibri" w:cs="Calibri"/>
                <w:b/>
                <w:bCs/>
                <w:i/>
                <w:color w:val="000000"/>
                <w:sz w:val="20"/>
                <w:szCs w:val="20"/>
              </w:rPr>
              <w:t>677.530,00</w:t>
            </w:r>
          </w:p>
        </w:tc>
        <w:tc>
          <w:tcPr>
            <w:tcW w:w="1701" w:type="dxa"/>
            <w:noWrap/>
            <w:vAlign w:val="center"/>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i/>
                <w:color w:val="000000"/>
                <w:sz w:val="20"/>
                <w:szCs w:val="20"/>
              </w:rPr>
            </w:pPr>
            <w:r w:rsidRPr="000522C4">
              <w:rPr>
                <w:rFonts w:ascii="Calibri" w:hAnsi="Calibri" w:cs="Calibri"/>
                <w:b/>
                <w:bCs/>
                <w:i/>
                <w:color w:val="000000"/>
                <w:sz w:val="20"/>
                <w:szCs w:val="20"/>
              </w:rPr>
              <w:t>120.296,00</w:t>
            </w:r>
          </w:p>
        </w:tc>
      </w:tr>
      <w:tr w:rsidR="006002A9" w:rsidRPr="008E45AE" w:rsidTr="006002A9">
        <w:trPr>
          <w:trHeight w:val="382"/>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411100</w:t>
            </w:r>
          </w:p>
        </w:tc>
        <w:tc>
          <w:tcPr>
            <w:tcW w:w="5852" w:type="dxa"/>
            <w:gridSpan w:val="2"/>
            <w:noWrap/>
            <w:vAlign w:val="center"/>
            <w:hideMark/>
          </w:tcPr>
          <w:p w:rsidR="006002A9" w:rsidRPr="008E45AE" w:rsidRDefault="006002A9" w:rsidP="006002A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Расходи за бруто плате запослених</w:t>
            </w:r>
          </w:p>
        </w:tc>
        <w:tc>
          <w:tcPr>
            <w:tcW w:w="1984"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459.000,00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406.585,00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52.415,00</w:t>
            </w:r>
          </w:p>
        </w:tc>
      </w:tr>
      <w:tr w:rsidR="006002A9" w:rsidRPr="008E45AE" w:rsidTr="006002A9">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411200</w:t>
            </w:r>
          </w:p>
        </w:tc>
        <w:tc>
          <w:tcPr>
            <w:tcW w:w="5852" w:type="dxa"/>
            <w:gridSpan w:val="2"/>
            <w:noWrap/>
            <w:vAlign w:val="center"/>
            <w:hideMark/>
          </w:tcPr>
          <w:p w:rsidR="006002A9" w:rsidRPr="008E45AE" w:rsidRDefault="006002A9" w:rsidP="006002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Расходи за бруто накнаде трошкова и осталих личних примања запослених по основу рада</w:t>
            </w:r>
          </w:p>
        </w:tc>
        <w:tc>
          <w:tcPr>
            <w:tcW w:w="1984"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11.000,00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10.774,00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226,00</w:t>
            </w:r>
          </w:p>
        </w:tc>
      </w:tr>
      <w:tr w:rsidR="006002A9" w:rsidRPr="008E45AE" w:rsidTr="006002A9">
        <w:trPr>
          <w:trHeight w:val="630"/>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411300</w:t>
            </w:r>
          </w:p>
        </w:tc>
        <w:tc>
          <w:tcPr>
            <w:tcW w:w="5852" w:type="dxa"/>
            <w:gridSpan w:val="2"/>
            <w:vAlign w:val="center"/>
            <w:hideMark/>
          </w:tcPr>
          <w:p w:rsidR="006002A9" w:rsidRPr="008E45AE" w:rsidRDefault="006002A9" w:rsidP="006002A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Расходи за накнаду плата запослених за вријеме боловања, родитељског одсуства и осталих накнада плата</w:t>
            </w:r>
          </w:p>
        </w:tc>
        <w:tc>
          <w:tcPr>
            <w:tcW w:w="1984"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6.000,00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5.985,00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15,00</w:t>
            </w:r>
          </w:p>
        </w:tc>
      </w:tr>
      <w:tr w:rsidR="006002A9" w:rsidRPr="008E45AE" w:rsidTr="006002A9">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411400</w:t>
            </w:r>
          </w:p>
        </w:tc>
        <w:tc>
          <w:tcPr>
            <w:tcW w:w="5852" w:type="dxa"/>
            <w:gridSpan w:val="2"/>
            <w:noWrap/>
            <w:vAlign w:val="center"/>
            <w:hideMark/>
          </w:tcPr>
          <w:p w:rsidR="006002A9" w:rsidRPr="008E45AE" w:rsidRDefault="006002A9" w:rsidP="006002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 xml:space="preserve">Расходи за отпремнине и једнократне помоћи (бруто) </w:t>
            </w:r>
          </w:p>
        </w:tc>
        <w:tc>
          <w:tcPr>
            <w:tcW w:w="1984"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3.000,00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2.806,00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194,00</w:t>
            </w:r>
          </w:p>
        </w:tc>
      </w:tr>
      <w:tr w:rsidR="006002A9" w:rsidRPr="008E45AE" w:rsidTr="006002A9">
        <w:trPr>
          <w:trHeight w:val="423"/>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i/>
                <w:iCs/>
                <w:color w:val="000000"/>
                <w:sz w:val="20"/>
                <w:szCs w:val="20"/>
                <w:lang w:val="en-GB" w:eastAsia="en-GB"/>
              </w:rPr>
            </w:pPr>
            <w:r w:rsidRPr="008E45AE">
              <w:rPr>
                <w:rFonts w:ascii="Calibri" w:eastAsia="Times New Roman" w:hAnsi="Calibri" w:cs="Calibri"/>
                <w:i/>
                <w:iCs/>
                <w:color w:val="000000"/>
                <w:sz w:val="20"/>
                <w:szCs w:val="20"/>
                <w:lang w:val="en-GB" w:eastAsia="en-GB"/>
              </w:rPr>
              <w:t>411000</w:t>
            </w:r>
          </w:p>
        </w:tc>
        <w:tc>
          <w:tcPr>
            <w:tcW w:w="5852" w:type="dxa"/>
            <w:gridSpan w:val="2"/>
            <w:noWrap/>
            <w:vAlign w:val="center"/>
            <w:hideMark/>
          </w:tcPr>
          <w:p w:rsidR="006002A9" w:rsidRPr="008E45AE" w:rsidRDefault="006002A9" w:rsidP="006002A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i/>
                <w:iCs/>
                <w:color w:val="000000"/>
                <w:sz w:val="20"/>
                <w:szCs w:val="20"/>
                <w:lang w:val="en-GB" w:eastAsia="en-GB"/>
              </w:rPr>
            </w:pPr>
            <w:r w:rsidRPr="008E45AE">
              <w:rPr>
                <w:rFonts w:ascii="Calibri" w:eastAsia="Times New Roman" w:hAnsi="Calibri" w:cs="Calibri"/>
                <w:b/>
                <w:bCs/>
                <w:i/>
                <w:iCs/>
                <w:color w:val="000000"/>
                <w:sz w:val="20"/>
                <w:szCs w:val="20"/>
                <w:lang w:val="en-GB" w:eastAsia="en-GB"/>
              </w:rPr>
              <w:t>Расходи за лична примања запослених</w:t>
            </w:r>
          </w:p>
        </w:tc>
        <w:tc>
          <w:tcPr>
            <w:tcW w:w="1984"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i/>
                <w:iCs/>
                <w:color w:val="000000"/>
                <w:sz w:val="20"/>
                <w:szCs w:val="20"/>
              </w:rPr>
            </w:pPr>
            <w:r w:rsidRPr="000522C4">
              <w:rPr>
                <w:rFonts w:ascii="Calibri" w:hAnsi="Calibri" w:cs="Calibri"/>
                <w:b/>
                <w:bCs/>
                <w:i/>
                <w:iCs/>
                <w:color w:val="000000"/>
                <w:sz w:val="20"/>
                <w:szCs w:val="20"/>
              </w:rPr>
              <w:t>479.000,00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i/>
                <w:iCs/>
                <w:color w:val="000000"/>
                <w:sz w:val="20"/>
                <w:szCs w:val="20"/>
              </w:rPr>
            </w:pPr>
            <w:r w:rsidRPr="000522C4">
              <w:rPr>
                <w:rFonts w:ascii="Calibri" w:hAnsi="Calibri" w:cs="Calibri"/>
                <w:b/>
                <w:bCs/>
                <w:i/>
                <w:iCs/>
                <w:color w:val="000000"/>
                <w:sz w:val="20"/>
                <w:szCs w:val="20"/>
              </w:rPr>
              <w:t>426.150,00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i/>
                <w:iCs/>
                <w:color w:val="000000"/>
                <w:sz w:val="20"/>
                <w:szCs w:val="20"/>
              </w:rPr>
            </w:pPr>
            <w:r w:rsidRPr="000522C4">
              <w:rPr>
                <w:rFonts w:ascii="Calibri" w:hAnsi="Calibri" w:cs="Calibri"/>
                <w:b/>
                <w:bCs/>
                <w:i/>
                <w:iCs/>
                <w:color w:val="000000"/>
                <w:sz w:val="20"/>
                <w:szCs w:val="20"/>
              </w:rPr>
              <w:t>52.850,00</w:t>
            </w:r>
          </w:p>
        </w:tc>
      </w:tr>
      <w:tr w:rsidR="006002A9" w:rsidRPr="008E45AE" w:rsidTr="00CC1FB4">
        <w:trPr>
          <w:cnfStyle w:val="000000100000" w:firstRow="0" w:lastRow="0" w:firstColumn="0" w:lastColumn="0" w:oddVBand="0" w:evenVBand="0" w:oddHBand="1" w:evenHBand="0" w:firstRowFirstColumn="0" w:firstRowLastColumn="0" w:lastRowFirstColumn="0" w:lastRowLastColumn="0"/>
          <w:trHeight w:val="402"/>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412100</w:t>
            </w:r>
          </w:p>
        </w:tc>
        <w:tc>
          <w:tcPr>
            <w:tcW w:w="5852" w:type="dxa"/>
            <w:gridSpan w:val="2"/>
            <w:noWrap/>
            <w:vAlign w:val="center"/>
            <w:hideMark/>
          </w:tcPr>
          <w:p w:rsidR="006002A9" w:rsidRPr="008E45AE" w:rsidRDefault="006002A9" w:rsidP="006002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Расходи по основу закупа</w:t>
            </w:r>
          </w:p>
        </w:tc>
        <w:tc>
          <w:tcPr>
            <w:tcW w:w="1984"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41.000,00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40.471,00</w:t>
            </w:r>
          </w:p>
        </w:tc>
        <w:tc>
          <w:tcPr>
            <w:tcW w:w="1701" w:type="dxa"/>
            <w:noWrap/>
            <w:vAlign w:val="bottom"/>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529,00</w:t>
            </w:r>
          </w:p>
        </w:tc>
      </w:tr>
      <w:tr w:rsidR="006002A9" w:rsidRPr="008E45AE" w:rsidTr="00CC1FB4">
        <w:trPr>
          <w:trHeight w:val="705"/>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412200</w:t>
            </w:r>
          </w:p>
        </w:tc>
        <w:tc>
          <w:tcPr>
            <w:tcW w:w="5852" w:type="dxa"/>
            <w:gridSpan w:val="2"/>
            <w:noWrap/>
            <w:vAlign w:val="center"/>
            <w:hideMark/>
          </w:tcPr>
          <w:p w:rsidR="006002A9" w:rsidRPr="008E45AE" w:rsidRDefault="006002A9" w:rsidP="006002A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Расходи по основу утрошка енергије, комуналних, комуникационих и транспортних услуга</w:t>
            </w:r>
          </w:p>
        </w:tc>
        <w:tc>
          <w:tcPr>
            <w:tcW w:w="1984"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19.000,00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16.642,00</w:t>
            </w:r>
          </w:p>
        </w:tc>
        <w:tc>
          <w:tcPr>
            <w:tcW w:w="1701" w:type="dxa"/>
            <w:noWrap/>
            <w:vAlign w:val="bottom"/>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2.358,00</w:t>
            </w:r>
          </w:p>
        </w:tc>
      </w:tr>
      <w:tr w:rsidR="006002A9" w:rsidRPr="008E45AE" w:rsidTr="00CC1FB4">
        <w:trPr>
          <w:cnfStyle w:val="000000100000" w:firstRow="0" w:lastRow="0" w:firstColumn="0" w:lastColumn="0" w:oddVBand="0" w:evenVBand="0" w:oddHBand="1" w:evenHBand="0" w:firstRowFirstColumn="0" w:firstRowLastColumn="0" w:lastRowFirstColumn="0" w:lastRowLastColumn="0"/>
          <w:trHeight w:val="417"/>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412300</w:t>
            </w:r>
          </w:p>
        </w:tc>
        <w:tc>
          <w:tcPr>
            <w:tcW w:w="5852" w:type="dxa"/>
            <w:gridSpan w:val="2"/>
            <w:noWrap/>
            <w:vAlign w:val="center"/>
            <w:hideMark/>
          </w:tcPr>
          <w:p w:rsidR="006002A9" w:rsidRPr="008E45AE" w:rsidRDefault="006002A9" w:rsidP="006002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Расходи за режијски материјал</w:t>
            </w:r>
          </w:p>
        </w:tc>
        <w:tc>
          <w:tcPr>
            <w:tcW w:w="1984"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3.000,00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2.810,00</w:t>
            </w:r>
          </w:p>
        </w:tc>
        <w:tc>
          <w:tcPr>
            <w:tcW w:w="1701" w:type="dxa"/>
            <w:noWrap/>
            <w:vAlign w:val="bottom"/>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190,00</w:t>
            </w:r>
          </w:p>
        </w:tc>
      </w:tr>
      <w:tr w:rsidR="006002A9" w:rsidRPr="008E45AE" w:rsidTr="00CC1FB4">
        <w:trPr>
          <w:trHeight w:val="410"/>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412500</w:t>
            </w:r>
          </w:p>
        </w:tc>
        <w:tc>
          <w:tcPr>
            <w:tcW w:w="5852" w:type="dxa"/>
            <w:gridSpan w:val="2"/>
            <w:noWrap/>
            <w:vAlign w:val="center"/>
            <w:hideMark/>
          </w:tcPr>
          <w:p w:rsidR="006002A9" w:rsidRPr="008E45AE" w:rsidRDefault="006002A9" w:rsidP="006002A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Расходи за текуће одржавање</w:t>
            </w:r>
          </w:p>
        </w:tc>
        <w:tc>
          <w:tcPr>
            <w:tcW w:w="1984"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3.000,00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1.315,00</w:t>
            </w:r>
          </w:p>
        </w:tc>
        <w:tc>
          <w:tcPr>
            <w:tcW w:w="1701" w:type="dxa"/>
            <w:noWrap/>
            <w:vAlign w:val="bottom"/>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1.685,00</w:t>
            </w:r>
          </w:p>
        </w:tc>
      </w:tr>
      <w:tr w:rsidR="006002A9" w:rsidRPr="008E45AE" w:rsidTr="00CC1FB4">
        <w:trPr>
          <w:cnfStyle w:val="000000100000" w:firstRow="0" w:lastRow="0" w:firstColumn="0" w:lastColumn="0" w:oddVBand="0" w:evenVBand="0" w:oddHBand="1" w:evenHBand="0" w:firstRowFirstColumn="0" w:firstRowLastColumn="0" w:lastRowFirstColumn="0" w:lastRowLastColumn="0"/>
          <w:trHeight w:val="429"/>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412600</w:t>
            </w:r>
          </w:p>
        </w:tc>
        <w:tc>
          <w:tcPr>
            <w:tcW w:w="5852" w:type="dxa"/>
            <w:gridSpan w:val="2"/>
            <w:noWrap/>
            <w:vAlign w:val="center"/>
            <w:hideMark/>
          </w:tcPr>
          <w:p w:rsidR="006002A9" w:rsidRPr="008E45AE" w:rsidRDefault="006002A9" w:rsidP="006002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Расходи по основу путовања и смјештаја</w:t>
            </w:r>
          </w:p>
        </w:tc>
        <w:tc>
          <w:tcPr>
            <w:tcW w:w="1984"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15.885,00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15.481,00</w:t>
            </w:r>
          </w:p>
        </w:tc>
        <w:tc>
          <w:tcPr>
            <w:tcW w:w="1701" w:type="dxa"/>
            <w:noWrap/>
            <w:vAlign w:val="bottom"/>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404,00</w:t>
            </w:r>
          </w:p>
        </w:tc>
      </w:tr>
      <w:tr w:rsidR="006002A9" w:rsidRPr="008E45AE" w:rsidTr="00CC1FB4">
        <w:trPr>
          <w:trHeight w:val="407"/>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412700</w:t>
            </w:r>
          </w:p>
        </w:tc>
        <w:tc>
          <w:tcPr>
            <w:tcW w:w="5852" w:type="dxa"/>
            <w:gridSpan w:val="2"/>
            <w:noWrap/>
            <w:vAlign w:val="center"/>
            <w:hideMark/>
          </w:tcPr>
          <w:p w:rsidR="006002A9" w:rsidRPr="008E45AE" w:rsidRDefault="006002A9" w:rsidP="006002A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Расходи за стручне услуге</w:t>
            </w:r>
          </w:p>
        </w:tc>
        <w:tc>
          <w:tcPr>
            <w:tcW w:w="1984"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16.500,00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6.640,00</w:t>
            </w:r>
          </w:p>
        </w:tc>
        <w:tc>
          <w:tcPr>
            <w:tcW w:w="1701" w:type="dxa"/>
            <w:noWrap/>
            <w:vAlign w:val="bottom"/>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9.860,00</w:t>
            </w:r>
          </w:p>
        </w:tc>
      </w:tr>
      <w:tr w:rsidR="006002A9" w:rsidRPr="008E45AE" w:rsidTr="00CC1FB4">
        <w:trPr>
          <w:cnfStyle w:val="000000100000" w:firstRow="0" w:lastRow="0" w:firstColumn="0" w:lastColumn="0" w:oddVBand="0" w:evenVBand="0" w:oddHBand="1" w:evenHBand="0" w:firstRowFirstColumn="0" w:firstRowLastColumn="0" w:lastRowFirstColumn="0" w:lastRowLastColumn="0"/>
          <w:trHeight w:val="406"/>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412900</w:t>
            </w:r>
          </w:p>
        </w:tc>
        <w:tc>
          <w:tcPr>
            <w:tcW w:w="5852" w:type="dxa"/>
            <w:gridSpan w:val="2"/>
            <w:noWrap/>
            <w:vAlign w:val="center"/>
            <w:hideMark/>
          </w:tcPr>
          <w:p w:rsidR="006002A9" w:rsidRPr="00483917" w:rsidRDefault="006002A9" w:rsidP="006002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sr-Cyrl-RS" w:eastAsia="en-GB"/>
              </w:rPr>
            </w:pPr>
            <w:r w:rsidRPr="008E45AE">
              <w:rPr>
                <w:rFonts w:ascii="Calibri" w:eastAsia="Times New Roman" w:hAnsi="Calibri" w:cs="Calibri"/>
                <w:color w:val="000000"/>
                <w:sz w:val="20"/>
                <w:szCs w:val="20"/>
                <w:lang w:val="en-GB" w:eastAsia="en-GB"/>
              </w:rPr>
              <w:t xml:space="preserve">Расходи за </w:t>
            </w:r>
            <w:r>
              <w:rPr>
                <w:rFonts w:ascii="Calibri" w:eastAsia="Times New Roman" w:hAnsi="Calibri" w:cs="Calibri"/>
                <w:color w:val="000000"/>
                <w:sz w:val="20"/>
                <w:szCs w:val="20"/>
                <w:lang w:val="sr-Cyrl-RS" w:eastAsia="en-GB"/>
              </w:rPr>
              <w:t>стручно усавршавање запослених</w:t>
            </w:r>
          </w:p>
        </w:tc>
        <w:tc>
          <w:tcPr>
            <w:tcW w:w="1984"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1.000,00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0,00</w:t>
            </w:r>
          </w:p>
        </w:tc>
        <w:tc>
          <w:tcPr>
            <w:tcW w:w="1701" w:type="dxa"/>
            <w:noWrap/>
            <w:vAlign w:val="bottom"/>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1.000,00</w:t>
            </w:r>
          </w:p>
        </w:tc>
      </w:tr>
      <w:tr w:rsidR="006002A9" w:rsidRPr="008E45AE" w:rsidTr="00CC1FB4">
        <w:trPr>
          <w:trHeight w:val="425"/>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412900</w:t>
            </w:r>
          </w:p>
        </w:tc>
        <w:tc>
          <w:tcPr>
            <w:tcW w:w="5852" w:type="dxa"/>
            <w:gridSpan w:val="2"/>
            <w:noWrap/>
            <w:vAlign w:val="center"/>
          </w:tcPr>
          <w:p w:rsidR="006002A9" w:rsidRPr="005E161D" w:rsidRDefault="006002A9" w:rsidP="006002A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0000"/>
                <w:sz w:val="20"/>
                <w:szCs w:val="20"/>
                <w:lang w:val="en-GB" w:eastAsia="en-GB"/>
              </w:rPr>
            </w:pPr>
            <w:r w:rsidRPr="008E45AE">
              <w:rPr>
                <w:rFonts w:ascii="Calibri" w:eastAsia="Times New Roman" w:hAnsi="Calibri" w:cs="Calibri"/>
                <w:color w:val="000000"/>
                <w:sz w:val="20"/>
                <w:szCs w:val="20"/>
                <w:lang w:val="en-GB" w:eastAsia="en-GB"/>
              </w:rPr>
              <w:t>Расходи за бруто накнаде за рад ван радног односа</w:t>
            </w:r>
          </w:p>
        </w:tc>
        <w:tc>
          <w:tcPr>
            <w:tcW w:w="1984" w:type="dxa"/>
            <w:noWrap/>
            <w:vAlign w:val="bottom"/>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190.786,00</w:t>
            </w:r>
          </w:p>
        </w:tc>
        <w:tc>
          <w:tcPr>
            <w:tcW w:w="1701" w:type="dxa"/>
            <w:noWrap/>
            <w:vAlign w:val="bottom"/>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140.055,00</w:t>
            </w:r>
          </w:p>
        </w:tc>
        <w:tc>
          <w:tcPr>
            <w:tcW w:w="1701" w:type="dxa"/>
            <w:noWrap/>
            <w:vAlign w:val="bottom"/>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50.731,00</w:t>
            </w:r>
          </w:p>
        </w:tc>
      </w:tr>
      <w:tr w:rsidR="006002A9" w:rsidRPr="008E45AE" w:rsidTr="00F27DF5">
        <w:trPr>
          <w:cnfStyle w:val="000000100000" w:firstRow="0" w:lastRow="0" w:firstColumn="0" w:lastColumn="0" w:oddVBand="0" w:evenVBand="0" w:oddHBand="1" w:evenHBand="0"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412900</w:t>
            </w:r>
          </w:p>
        </w:tc>
        <w:tc>
          <w:tcPr>
            <w:tcW w:w="5852" w:type="dxa"/>
            <w:gridSpan w:val="2"/>
            <w:noWrap/>
            <w:vAlign w:val="center"/>
            <w:hideMark/>
          </w:tcPr>
          <w:p w:rsidR="006002A9" w:rsidRPr="005E161D" w:rsidRDefault="006002A9" w:rsidP="006002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sr-Cyrl-BA" w:eastAsia="en-GB"/>
              </w:rPr>
            </w:pPr>
            <w:r w:rsidRPr="00221D45">
              <w:rPr>
                <w:rFonts w:ascii="Calibri" w:eastAsia="Times New Roman" w:hAnsi="Calibri" w:cs="Calibri"/>
                <w:sz w:val="20"/>
                <w:szCs w:val="20"/>
                <w:lang w:val="en-GB" w:eastAsia="en-GB"/>
              </w:rPr>
              <w:t xml:space="preserve">Расходи по основу репрезентације </w:t>
            </w:r>
          </w:p>
        </w:tc>
        <w:tc>
          <w:tcPr>
            <w:tcW w:w="1984"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12.000,00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11.950,00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50,00</w:t>
            </w:r>
          </w:p>
        </w:tc>
      </w:tr>
      <w:tr w:rsidR="006002A9" w:rsidRPr="008E45AE" w:rsidTr="00F27DF5">
        <w:trPr>
          <w:trHeight w:val="417"/>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412900</w:t>
            </w:r>
          </w:p>
        </w:tc>
        <w:tc>
          <w:tcPr>
            <w:tcW w:w="5852" w:type="dxa"/>
            <w:gridSpan w:val="2"/>
            <w:noWrap/>
            <w:vAlign w:val="center"/>
            <w:hideMark/>
          </w:tcPr>
          <w:p w:rsidR="006002A9" w:rsidRPr="008E45AE" w:rsidRDefault="006002A9" w:rsidP="006002A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Расходи по основу пореза, доприноса и непореских накнада на терет послодавца</w:t>
            </w:r>
          </w:p>
        </w:tc>
        <w:tc>
          <w:tcPr>
            <w:tcW w:w="1984"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1.000,00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663,00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337,00</w:t>
            </w:r>
          </w:p>
        </w:tc>
      </w:tr>
      <w:tr w:rsidR="006002A9" w:rsidRPr="008E45AE" w:rsidTr="00F27DF5">
        <w:trPr>
          <w:cnfStyle w:val="000000100000" w:firstRow="0" w:lastRow="0" w:firstColumn="0" w:lastColumn="0" w:oddVBand="0" w:evenVBand="0" w:oddHBand="1" w:evenHBand="0" w:firstRowFirstColumn="0" w:firstRowLastColumn="0" w:lastRowFirstColumn="0" w:lastRowLastColumn="0"/>
          <w:trHeight w:val="410"/>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412900</w:t>
            </w:r>
          </w:p>
        </w:tc>
        <w:tc>
          <w:tcPr>
            <w:tcW w:w="5852" w:type="dxa"/>
            <w:gridSpan w:val="2"/>
            <w:noWrap/>
            <w:vAlign w:val="center"/>
            <w:hideMark/>
          </w:tcPr>
          <w:p w:rsidR="006002A9" w:rsidRPr="008E45AE" w:rsidRDefault="006002A9" w:rsidP="006002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Расходи по основу доприноса за професионалну рехабилитацију инвалида</w:t>
            </w:r>
          </w:p>
        </w:tc>
        <w:tc>
          <w:tcPr>
            <w:tcW w:w="1984"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1.000,00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882,00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118,00</w:t>
            </w:r>
          </w:p>
        </w:tc>
      </w:tr>
      <w:tr w:rsidR="006002A9" w:rsidRPr="008E45AE" w:rsidTr="00F27DF5">
        <w:trPr>
          <w:trHeight w:val="498"/>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412900</w:t>
            </w:r>
          </w:p>
        </w:tc>
        <w:tc>
          <w:tcPr>
            <w:tcW w:w="5852" w:type="dxa"/>
            <w:gridSpan w:val="2"/>
            <w:noWrap/>
            <w:vAlign w:val="center"/>
            <w:hideMark/>
          </w:tcPr>
          <w:p w:rsidR="006002A9" w:rsidRPr="00483917" w:rsidRDefault="006002A9" w:rsidP="006002A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sr-Cyrl-RS" w:eastAsia="en-GB"/>
              </w:rPr>
            </w:pPr>
            <w:r>
              <w:rPr>
                <w:rFonts w:ascii="Calibri" w:eastAsia="Times New Roman" w:hAnsi="Calibri" w:cs="Calibri"/>
                <w:color w:val="000000"/>
                <w:sz w:val="20"/>
                <w:szCs w:val="20"/>
                <w:lang w:val="sr-Cyrl-RS" w:eastAsia="en-GB"/>
              </w:rPr>
              <w:t>Остали непоменути расходи</w:t>
            </w:r>
          </w:p>
        </w:tc>
        <w:tc>
          <w:tcPr>
            <w:tcW w:w="1984"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12.500,00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12.316,00</w:t>
            </w:r>
          </w:p>
        </w:tc>
        <w:tc>
          <w:tcPr>
            <w:tcW w:w="1701" w:type="dxa"/>
            <w:noWrap/>
            <w:vAlign w:val="center"/>
            <w:hideMark/>
          </w:tcPr>
          <w:p w:rsidR="006002A9" w:rsidRPr="000522C4" w:rsidRDefault="006002A9" w:rsidP="006002A9">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184,00</w:t>
            </w:r>
          </w:p>
        </w:tc>
      </w:tr>
      <w:tr w:rsidR="006002A9" w:rsidRPr="008E45AE" w:rsidTr="00F27DF5">
        <w:trPr>
          <w:cnfStyle w:val="000000100000" w:firstRow="0" w:lastRow="0" w:firstColumn="0" w:lastColumn="0" w:oddVBand="0" w:evenVBand="0" w:oddHBand="1" w:evenHBand="0" w:firstRowFirstColumn="0" w:firstRowLastColumn="0" w:lastRowFirstColumn="0" w:lastRowLastColumn="0"/>
          <w:trHeight w:val="421"/>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6002A9" w:rsidRPr="008E45AE" w:rsidRDefault="006002A9" w:rsidP="006002A9">
            <w:pPr>
              <w:jc w:val="center"/>
              <w:rPr>
                <w:rFonts w:ascii="Calibri" w:eastAsia="Times New Roman" w:hAnsi="Calibri" w:cs="Calibri"/>
                <w:i/>
                <w:iCs/>
                <w:color w:val="000000"/>
                <w:sz w:val="20"/>
                <w:szCs w:val="20"/>
                <w:lang w:val="en-GB" w:eastAsia="en-GB"/>
              </w:rPr>
            </w:pPr>
            <w:r w:rsidRPr="008E45AE">
              <w:rPr>
                <w:rFonts w:ascii="Calibri" w:eastAsia="Times New Roman" w:hAnsi="Calibri" w:cs="Calibri"/>
                <w:i/>
                <w:iCs/>
                <w:color w:val="000000"/>
                <w:sz w:val="20"/>
                <w:szCs w:val="20"/>
                <w:lang w:val="en-GB" w:eastAsia="en-GB"/>
              </w:rPr>
              <w:t>412000</w:t>
            </w:r>
          </w:p>
        </w:tc>
        <w:tc>
          <w:tcPr>
            <w:tcW w:w="5852" w:type="dxa"/>
            <w:gridSpan w:val="2"/>
            <w:noWrap/>
            <w:vAlign w:val="center"/>
            <w:hideMark/>
          </w:tcPr>
          <w:p w:rsidR="006002A9" w:rsidRPr="008E45AE" w:rsidRDefault="006002A9" w:rsidP="006002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i/>
                <w:iCs/>
                <w:color w:val="000000"/>
                <w:sz w:val="20"/>
                <w:szCs w:val="20"/>
                <w:lang w:val="en-GB" w:eastAsia="en-GB"/>
              </w:rPr>
            </w:pPr>
            <w:r w:rsidRPr="008E45AE">
              <w:rPr>
                <w:rFonts w:ascii="Calibri" w:eastAsia="Times New Roman" w:hAnsi="Calibri" w:cs="Calibri"/>
                <w:b/>
                <w:bCs/>
                <w:i/>
                <w:iCs/>
                <w:color w:val="000000"/>
                <w:sz w:val="20"/>
                <w:szCs w:val="20"/>
                <w:lang w:val="en-GB" w:eastAsia="en-GB"/>
              </w:rPr>
              <w:t>Расходи по основу коришћења роба и услуга</w:t>
            </w:r>
          </w:p>
        </w:tc>
        <w:tc>
          <w:tcPr>
            <w:tcW w:w="1984"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i/>
                <w:color w:val="000000"/>
                <w:sz w:val="20"/>
                <w:szCs w:val="20"/>
              </w:rPr>
            </w:pPr>
            <w:r w:rsidRPr="000522C4">
              <w:rPr>
                <w:rFonts w:ascii="Calibri" w:hAnsi="Calibri" w:cs="Calibri"/>
                <w:b/>
                <w:i/>
                <w:color w:val="000000"/>
                <w:sz w:val="20"/>
                <w:szCs w:val="20"/>
              </w:rPr>
              <w:t>316.671,00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i/>
                <w:color w:val="000000"/>
                <w:sz w:val="20"/>
                <w:szCs w:val="20"/>
              </w:rPr>
            </w:pPr>
            <w:r w:rsidRPr="000522C4">
              <w:rPr>
                <w:rFonts w:ascii="Calibri" w:hAnsi="Calibri" w:cs="Calibri"/>
                <w:b/>
                <w:i/>
                <w:color w:val="000000"/>
                <w:sz w:val="20"/>
                <w:szCs w:val="20"/>
              </w:rPr>
              <w:t>249.225,00</w:t>
            </w:r>
          </w:p>
        </w:tc>
        <w:tc>
          <w:tcPr>
            <w:tcW w:w="1701" w:type="dxa"/>
            <w:noWrap/>
            <w:vAlign w:val="center"/>
            <w:hideMark/>
          </w:tcPr>
          <w:p w:rsidR="006002A9" w:rsidRPr="000522C4" w:rsidRDefault="006002A9" w:rsidP="006002A9">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i/>
                <w:color w:val="000000"/>
                <w:sz w:val="20"/>
                <w:szCs w:val="20"/>
              </w:rPr>
            </w:pPr>
            <w:r w:rsidRPr="000522C4">
              <w:rPr>
                <w:rFonts w:ascii="Calibri" w:hAnsi="Calibri" w:cs="Calibri"/>
                <w:b/>
                <w:i/>
                <w:color w:val="000000"/>
                <w:sz w:val="20"/>
                <w:szCs w:val="20"/>
              </w:rPr>
              <w:t>67.446,00</w:t>
            </w:r>
          </w:p>
        </w:tc>
      </w:tr>
      <w:tr w:rsidR="006002A9" w:rsidRPr="008E45AE" w:rsidTr="00F27DF5">
        <w:trPr>
          <w:trHeight w:val="421"/>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tcPr>
          <w:p w:rsidR="006002A9" w:rsidRPr="003007DA" w:rsidRDefault="003007DA" w:rsidP="0093237D">
            <w:pPr>
              <w:jc w:val="center"/>
              <w:rPr>
                <w:rFonts w:ascii="Calibri" w:eastAsia="Times New Roman" w:hAnsi="Calibri" w:cs="Calibri"/>
                <w:i/>
                <w:iCs/>
                <w:color w:val="000000"/>
                <w:sz w:val="20"/>
                <w:szCs w:val="20"/>
                <w:lang w:val="sr-Cyrl-RS" w:eastAsia="en-GB"/>
              </w:rPr>
            </w:pPr>
            <w:r>
              <w:rPr>
                <w:rFonts w:ascii="Calibri" w:eastAsia="Times New Roman" w:hAnsi="Calibri" w:cs="Calibri"/>
                <w:i/>
                <w:iCs/>
                <w:color w:val="000000"/>
                <w:sz w:val="20"/>
                <w:szCs w:val="20"/>
                <w:lang w:val="sr-Cyrl-RS" w:eastAsia="en-GB"/>
              </w:rPr>
              <w:t>4191</w:t>
            </w:r>
            <w:r w:rsidR="00EB1EB4">
              <w:rPr>
                <w:rFonts w:ascii="Calibri" w:eastAsia="Times New Roman" w:hAnsi="Calibri" w:cs="Calibri"/>
                <w:i/>
                <w:iCs/>
                <w:color w:val="000000"/>
                <w:sz w:val="20"/>
                <w:szCs w:val="20"/>
                <w:lang w:val="sr-Cyrl-RS" w:eastAsia="en-GB"/>
              </w:rPr>
              <w:t>00</w:t>
            </w:r>
          </w:p>
        </w:tc>
        <w:tc>
          <w:tcPr>
            <w:tcW w:w="5852" w:type="dxa"/>
            <w:gridSpan w:val="2"/>
            <w:noWrap/>
            <w:vAlign w:val="center"/>
          </w:tcPr>
          <w:p w:rsidR="006002A9" w:rsidRPr="004671D1" w:rsidRDefault="003007DA" w:rsidP="0093237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iCs/>
                <w:color w:val="000000"/>
                <w:sz w:val="20"/>
                <w:szCs w:val="20"/>
                <w:lang w:val="sr-Cyrl-RS" w:eastAsia="en-GB"/>
              </w:rPr>
            </w:pPr>
            <w:r w:rsidRPr="004671D1">
              <w:rPr>
                <w:rFonts w:ascii="Calibri" w:eastAsia="Times New Roman" w:hAnsi="Calibri" w:cs="Calibri"/>
                <w:bCs/>
                <w:iCs/>
                <w:color w:val="000000"/>
                <w:sz w:val="20"/>
                <w:szCs w:val="20"/>
                <w:lang w:val="sr-Cyrl-RS" w:eastAsia="en-GB"/>
              </w:rPr>
              <w:t>Расходи по судским рјешењима</w:t>
            </w:r>
          </w:p>
        </w:tc>
        <w:tc>
          <w:tcPr>
            <w:tcW w:w="1984" w:type="dxa"/>
            <w:noWrap/>
            <w:vAlign w:val="center"/>
          </w:tcPr>
          <w:p w:rsidR="006002A9" w:rsidRPr="000522C4" w:rsidRDefault="003007DA" w:rsidP="003007DA">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2.155,00</w:t>
            </w:r>
          </w:p>
        </w:tc>
        <w:tc>
          <w:tcPr>
            <w:tcW w:w="1701" w:type="dxa"/>
            <w:noWrap/>
            <w:vAlign w:val="center"/>
          </w:tcPr>
          <w:p w:rsidR="006002A9" w:rsidRPr="000522C4" w:rsidRDefault="003007DA" w:rsidP="003007DA">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rPr>
              <w:t>2.155,00</w:t>
            </w:r>
          </w:p>
        </w:tc>
        <w:tc>
          <w:tcPr>
            <w:tcW w:w="1701" w:type="dxa"/>
            <w:noWrap/>
            <w:vAlign w:val="center"/>
          </w:tcPr>
          <w:p w:rsidR="006002A9" w:rsidRPr="000522C4" w:rsidRDefault="003007DA" w:rsidP="003007DA">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0522C4">
              <w:rPr>
                <w:rFonts w:ascii="Calibri" w:hAnsi="Calibri" w:cs="Calibri"/>
                <w:color w:val="000000"/>
                <w:sz w:val="20"/>
                <w:szCs w:val="20"/>
                <w:lang w:val="sr-Cyrl-RS"/>
              </w:rPr>
              <w:t>0</w:t>
            </w:r>
            <w:r w:rsidRPr="000522C4">
              <w:rPr>
                <w:rFonts w:ascii="Calibri" w:hAnsi="Calibri" w:cs="Calibri"/>
                <w:color w:val="000000"/>
                <w:sz w:val="20"/>
                <w:szCs w:val="20"/>
              </w:rPr>
              <w:t>,00</w:t>
            </w:r>
          </w:p>
        </w:tc>
      </w:tr>
      <w:tr w:rsidR="00E3111E" w:rsidRPr="008E45AE" w:rsidTr="00F27DF5">
        <w:trPr>
          <w:cnfStyle w:val="000000100000" w:firstRow="0" w:lastRow="0" w:firstColumn="0" w:lastColumn="0" w:oddVBand="0" w:evenVBand="0" w:oddHBand="1" w:evenHBand="0" w:firstRowFirstColumn="0" w:firstRowLastColumn="0" w:lastRowFirstColumn="0" w:lastRowLastColumn="0"/>
          <w:trHeight w:val="418"/>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E3111E" w:rsidRPr="008E45AE" w:rsidRDefault="00E3111E" w:rsidP="0093237D">
            <w:pPr>
              <w:jc w:val="center"/>
              <w:rPr>
                <w:rFonts w:ascii="Calibri" w:eastAsia="Times New Roman" w:hAnsi="Calibri" w:cs="Calibri"/>
                <w:color w:val="000000"/>
                <w:sz w:val="20"/>
                <w:szCs w:val="20"/>
                <w:lang w:val="en-GB" w:eastAsia="en-GB"/>
              </w:rPr>
            </w:pPr>
            <w:r w:rsidRPr="008E45AE">
              <w:rPr>
                <w:rFonts w:ascii="Calibri" w:eastAsia="Times New Roman" w:hAnsi="Calibri" w:cs="Calibri"/>
                <w:color w:val="000000"/>
                <w:sz w:val="20"/>
                <w:szCs w:val="20"/>
                <w:lang w:val="en-GB" w:eastAsia="en-GB"/>
              </w:rPr>
              <w:t>511</w:t>
            </w:r>
            <w:r>
              <w:rPr>
                <w:rFonts w:ascii="Calibri" w:eastAsia="Times New Roman" w:hAnsi="Calibri" w:cs="Calibri"/>
                <w:color w:val="000000"/>
                <w:sz w:val="20"/>
                <w:szCs w:val="20"/>
                <w:lang w:val="sr-Cyrl-BA" w:eastAsia="en-GB"/>
              </w:rPr>
              <w:t>3</w:t>
            </w:r>
            <w:r w:rsidRPr="008E45AE">
              <w:rPr>
                <w:rFonts w:ascii="Calibri" w:eastAsia="Times New Roman" w:hAnsi="Calibri" w:cs="Calibri"/>
                <w:color w:val="000000"/>
                <w:sz w:val="20"/>
                <w:szCs w:val="20"/>
                <w:lang w:val="en-GB" w:eastAsia="en-GB"/>
              </w:rPr>
              <w:t>00</w:t>
            </w:r>
          </w:p>
        </w:tc>
        <w:tc>
          <w:tcPr>
            <w:tcW w:w="5852" w:type="dxa"/>
            <w:gridSpan w:val="2"/>
            <w:noWrap/>
            <w:vAlign w:val="center"/>
            <w:hideMark/>
          </w:tcPr>
          <w:p w:rsidR="00E3111E" w:rsidRPr="00483917" w:rsidRDefault="00E3111E" w:rsidP="0093237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sr-Cyrl-RS" w:eastAsia="en-GB"/>
              </w:rPr>
            </w:pPr>
            <w:r>
              <w:rPr>
                <w:rFonts w:ascii="Calibri" w:eastAsia="Times New Roman" w:hAnsi="Calibri" w:cs="Calibri"/>
                <w:color w:val="000000"/>
                <w:sz w:val="20"/>
                <w:szCs w:val="20"/>
                <w:lang w:val="en-GB" w:eastAsia="en-GB"/>
              </w:rPr>
              <w:t>Из</w:t>
            </w:r>
            <w:r w:rsidRPr="008E45AE">
              <w:rPr>
                <w:rFonts w:ascii="Calibri" w:eastAsia="Times New Roman" w:hAnsi="Calibri" w:cs="Calibri"/>
                <w:color w:val="000000"/>
                <w:sz w:val="20"/>
                <w:szCs w:val="20"/>
                <w:lang w:val="en-GB" w:eastAsia="en-GB"/>
              </w:rPr>
              <w:t xml:space="preserve">даци за </w:t>
            </w:r>
            <w:r>
              <w:rPr>
                <w:rFonts w:ascii="Calibri" w:eastAsia="Times New Roman" w:hAnsi="Calibri" w:cs="Calibri"/>
                <w:color w:val="000000"/>
                <w:sz w:val="20"/>
                <w:szCs w:val="20"/>
                <w:lang w:val="sr-Cyrl-RS" w:eastAsia="en-GB"/>
              </w:rPr>
              <w:t>набавку постројења и опреме</w:t>
            </w:r>
          </w:p>
        </w:tc>
        <w:tc>
          <w:tcPr>
            <w:tcW w:w="1984" w:type="dxa"/>
            <w:noWrap/>
            <w:vAlign w:val="center"/>
            <w:hideMark/>
          </w:tcPr>
          <w:p w:rsidR="00E3111E" w:rsidRPr="000522C4" w:rsidRDefault="003007DA" w:rsidP="0093237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sidRPr="000522C4">
              <w:rPr>
                <w:rFonts w:cstheme="minorHAnsi"/>
                <w:color w:val="000000"/>
                <w:sz w:val="20"/>
                <w:szCs w:val="20"/>
                <w:lang w:val="sr-Cyrl-RS"/>
              </w:rPr>
              <w:t>1.000</w:t>
            </w:r>
            <w:r w:rsidR="00E3111E" w:rsidRPr="000522C4">
              <w:rPr>
                <w:rFonts w:cstheme="minorHAnsi"/>
                <w:color w:val="000000"/>
                <w:sz w:val="20"/>
                <w:szCs w:val="20"/>
              </w:rPr>
              <w:t>,00</w:t>
            </w:r>
          </w:p>
        </w:tc>
        <w:tc>
          <w:tcPr>
            <w:tcW w:w="1701" w:type="dxa"/>
            <w:noWrap/>
            <w:vAlign w:val="center"/>
            <w:hideMark/>
          </w:tcPr>
          <w:p w:rsidR="00E3111E" w:rsidRPr="000522C4" w:rsidRDefault="003007DA" w:rsidP="0093237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sidRPr="000522C4">
              <w:rPr>
                <w:rFonts w:cstheme="minorHAnsi"/>
                <w:color w:val="000000"/>
                <w:sz w:val="20"/>
                <w:szCs w:val="20"/>
                <w:lang w:val="sr-Cyrl-RS"/>
              </w:rPr>
              <w:t>818</w:t>
            </w:r>
            <w:r w:rsidR="00E3111E" w:rsidRPr="000522C4">
              <w:rPr>
                <w:rFonts w:cstheme="minorHAnsi"/>
                <w:color w:val="000000"/>
                <w:sz w:val="20"/>
                <w:szCs w:val="20"/>
              </w:rPr>
              <w:t>,00</w:t>
            </w:r>
          </w:p>
        </w:tc>
        <w:tc>
          <w:tcPr>
            <w:tcW w:w="1701" w:type="dxa"/>
            <w:noWrap/>
            <w:vAlign w:val="center"/>
            <w:hideMark/>
          </w:tcPr>
          <w:p w:rsidR="00E3111E" w:rsidRPr="000522C4" w:rsidRDefault="003007DA" w:rsidP="003007D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0522C4">
              <w:rPr>
                <w:rFonts w:ascii="Calibri" w:hAnsi="Calibri"/>
                <w:color w:val="000000"/>
                <w:sz w:val="20"/>
                <w:szCs w:val="20"/>
              </w:rPr>
              <w:t>182,00</w:t>
            </w:r>
          </w:p>
        </w:tc>
      </w:tr>
      <w:tr w:rsidR="00E3111E" w:rsidRPr="008E45AE" w:rsidTr="00F27DF5">
        <w:trPr>
          <w:trHeight w:val="427"/>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hideMark/>
          </w:tcPr>
          <w:p w:rsidR="00E3111E" w:rsidRPr="001A53A8" w:rsidRDefault="00E3111E" w:rsidP="0093237D">
            <w:pPr>
              <w:jc w:val="center"/>
              <w:rPr>
                <w:rFonts w:ascii="Calibri" w:eastAsia="Times New Roman" w:hAnsi="Calibri" w:cs="Calibri"/>
                <w:iCs/>
                <w:color w:val="000000"/>
                <w:sz w:val="20"/>
                <w:szCs w:val="20"/>
                <w:lang w:val="sr-Cyrl-RS" w:eastAsia="en-GB"/>
              </w:rPr>
            </w:pPr>
            <w:r w:rsidRPr="001A53A8">
              <w:rPr>
                <w:rFonts w:ascii="Calibri" w:eastAsia="Times New Roman" w:hAnsi="Calibri" w:cs="Calibri"/>
                <w:iCs/>
                <w:color w:val="000000"/>
                <w:sz w:val="20"/>
                <w:szCs w:val="20"/>
                <w:lang w:val="sr-Cyrl-RS" w:eastAsia="en-GB"/>
              </w:rPr>
              <w:t>516100</w:t>
            </w:r>
          </w:p>
        </w:tc>
        <w:tc>
          <w:tcPr>
            <w:tcW w:w="5852" w:type="dxa"/>
            <w:gridSpan w:val="2"/>
            <w:noWrap/>
            <w:vAlign w:val="center"/>
            <w:hideMark/>
          </w:tcPr>
          <w:p w:rsidR="00E3111E" w:rsidRPr="001A53A8" w:rsidRDefault="00E3111E" w:rsidP="0093237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iCs/>
                <w:color w:val="000000"/>
                <w:sz w:val="20"/>
                <w:szCs w:val="20"/>
                <w:lang w:val="sr-Cyrl-RS" w:eastAsia="en-GB"/>
              </w:rPr>
            </w:pPr>
            <w:r w:rsidRPr="001A53A8">
              <w:rPr>
                <w:rFonts w:ascii="Calibri" w:eastAsia="Times New Roman" w:hAnsi="Calibri" w:cs="Calibri"/>
                <w:bCs/>
                <w:iCs/>
                <w:color w:val="000000"/>
                <w:sz w:val="20"/>
                <w:szCs w:val="20"/>
                <w:lang w:val="sr-Cyrl-RS" w:eastAsia="en-GB"/>
              </w:rPr>
              <w:t>И</w:t>
            </w:r>
            <w:r w:rsidRPr="001A53A8">
              <w:rPr>
                <w:rFonts w:ascii="Calibri" w:eastAsia="Times New Roman" w:hAnsi="Calibri" w:cs="Calibri"/>
                <w:bCs/>
                <w:iCs/>
                <w:color w:val="000000"/>
                <w:sz w:val="20"/>
                <w:szCs w:val="20"/>
                <w:lang w:val="en-GB" w:eastAsia="en-GB"/>
              </w:rPr>
              <w:t xml:space="preserve">здаци </w:t>
            </w:r>
            <w:r w:rsidRPr="001A53A8">
              <w:rPr>
                <w:rFonts w:ascii="Calibri" w:eastAsia="Times New Roman" w:hAnsi="Calibri" w:cs="Calibri"/>
                <w:bCs/>
                <w:iCs/>
                <w:color w:val="000000"/>
                <w:sz w:val="20"/>
                <w:szCs w:val="20"/>
                <w:lang w:val="sr-Cyrl-RS" w:eastAsia="en-GB"/>
              </w:rPr>
              <w:t>за залихе материјала, робе и ситног инвентара, амбалаже и слично</w:t>
            </w:r>
          </w:p>
        </w:tc>
        <w:tc>
          <w:tcPr>
            <w:tcW w:w="1984" w:type="dxa"/>
            <w:noWrap/>
            <w:vAlign w:val="center"/>
            <w:hideMark/>
          </w:tcPr>
          <w:p w:rsidR="00E3111E" w:rsidRPr="000522C4" w:rsidRDefault="00E3111E" w:rsidP="0093237D">
            <w:pPr>
              <w:jc w:val="right"/>
              <w:cnfStyle w:val="000000000000" w:firstRow="0" w:lastRow="0" w:firstColumn="0" w:lastColumn="0" w:oddVBand="0" w:evenVBand="0" w:oddHBand="0" w:evenHBand="0" w:firstRowFirstColumn="0" w:firstRowLastColumn="0" w:lastRowFirstColumn="0" w:lastRowLastColumn="0"/>
              <w:rPr>
                <w:rFonts w:cstheme="minorHAnsi"/>
                <w:bCs/>
                <w:iCs/>
                <w:color w:val="000000"/>
                <w:sz w:val="20"/>
                <w:szCs w:val="20"/>
              </w:rPr>
            </w:pPr>
            <w:r w:rsidRPr="000522C4">
              <w:rPr>
                <w:rFonts w:cstheme="minorHAnsi"/>
                <w:bCs/>
                <w:iCs/>
                <w:color w:val="000000"/>
                <w:sz w:val="20"/>
                <w:szCs w:val="20"/>
                <w:lang w:val="sr-Cyrl-RS"/>
              </w:rPr>
              <w:t>0</w:t>
            </w:r>
            <w:r w:rsidRPr="000522C4">
              <w:rPr>
                <w:rFonts w:cstheme="minorHAnsi"/>
                <w:bCs/>
                <w:iCs/>
                <w:color w:val="000000"/>
                <w:sz w:val="20"/>
                <w:szCs w:val="20"/>
              </w:rPr>
              <w:t>,00</w:t>
            </w:r>
          </w:p>
        </w:tc>
        <w:tc>
          <w:tcPr>
            <w:tcW w:w="1701" w:type="dxa"/>
            <w:noWrap/>
            <w:vAlign w:val="center"/>
            <w:hideMark/>
          </w:tcPr>
          <w:p w:rsidR="00E3111E" w:rsidRPr="000522C4" w:rsidRDefault="00E3111E" w:rsidP="0093237D">
            <w:pPr>
              <w:jc w:val="right"/>
              <w:cnfStyle w:val="000000000000" w:firstRow="0" w:lastRow="0" w:firstColumn="0" w:lastColumn="0" w:oddVBand="0" w:evenVBand="0" w:oddHBand="0" w:evenHBand="0" w:firstRowFirstColumn="0" w:firstRowLastColumn="0" w:lastRowFirstColumn="0" w:lastRowLastColumn="0"/>
              <w:rPr>
                <w:rFonts w:cstheme="minorHAnsi"/>
                <w:bCs/>
                <w:iCs/>
                <w:color w:val="000000"/>
                <w:sz w:val="20"/>
                <w:szCs w:val="20"/>
              </w:rPr>
            </w:pPr>
            <w:r w:rsidRPr="000522C4">
              <w:rPr>
                <w:rFonts w:cstheme="minorHAnsi"/>
                <w:bCs/>
                <w:iCs/>
                <w:color w:val="000000"/>
                <w:sz w:val="20"/>
                <w:szCs w:val="20"/>
                <w:lang w:val="sr-Cyrl-RS"/>
              </w:rPr>
              <w:t>0</w:t>
            </w:r>
            <w:r w:rsidRPr="000522C4">
              <w:rPr>
                <w:rFonts w:cstheme="minorHAnsi"/>
                <w:bCs/>
                <w:iCs/>
                <w:color w:val="000000"/>
                <w:sz w:val="20"/>
                <w:szCs w:val="20"/>
              </w:rPr>
              <w:t>,00</w:t>
            </w:r>
          </w:p>
        </w:tc>
        <w:tc>
          <w:tcPr>
            <w:tcW w:w="1701" w:type="dxa"/>
            <w:noWrap/>
            <w:vAlign w:val="center"/>
            <w:hideMark/>
          </w:tcPr>
          <w:p w:rsidR="00E3111E" w:rsidRPr="000522C4" w:rsidRDefault="00E3111E" w:rsidP="0093237D">
            <w:pPr>
              <w:jc w:val="right"/>
              <w:cnfStyle w:val="000000000000" w:firstRow="0" w:lastRow="0" w:firstColumn="0" w:lastColumn="0" w:oddVBand="0" w:evenVBand="0" w:oddHBand="0" w:evenHBand="0" w:firstRowFirstColumn="0" w:firstRowLastColumn="0" w:lastRowFirstColumn="0" w:lastRowLastColumn="0"/>
              <w:rPr>
                <w:rFonts w:cstheme="minorHAnsi"/>
                <w:bCs/>
                <w:iCs/>
                <w:sz w:val="20"/>
                <w:szCs w:val="20"/>
              </w:rPr>
            </w:pPr>
            <w:r w:rsidRPr="000522C4">
              <w:rPr>
                <w:rFonts w:cstheme="minorHAnsi"/>
                <w:bCs/>
                <w:iCs/>
                <w:sz w:val="20"/>
                <w:szCs w:val="20"/>
                <w:lang w:val="sr-Cyrl-RS"/>
              </w:rPr>
              <w:t>0</w:t>
            </w:r>
            <w:r w:rsidRPr="000522C4">
              <w:rPr>
                <w:rFonts w:cstheme="minorHAnsi"/>
                <w:bCs/>
                <w:iCs/>
                <w:sz w:val="20"/>
                <w:szCs w:val="20"/>
              </w:rPr>
              <w:t>,00</w:t>
            </w:r>
          </w:p>
        </w:tc>
      </w:tr>
      <w:tr w:rsidR="003007DA" w:rsidRPr="008E45AE" w:rsidTr="000522C4">
        <w:trPr>
          <w:cnfStyle w:val="000000100000" w:firstRow="0" w:lastRow="0" w:firstColumn="0" w:lastColumn="0" w:oddVBand="0" w:evenVBand="0" w:oddHBand="1" w:evenHBand="0" w:firstRowFirstColumn="0" w:firstRowLastColumn="0" w:lastRowFirstColumn="0" w:lastRowLastColumn="0"/>
          <w:trHeight w:val="631"/>
          <w:jc w:val="center"/>
        </w:trPr>
        <w:tc>
          <w:tcPr>
            <w:cnfStyle w:val="001000000000" w:firstRow="0" w:lastRow="0" w:firstColumn="1" w:lastColumn="0" w:oddVBand="0" w:evenVBand="0" w:oddHBand="0" w:evenHBand="0" w:firstRowFirstColumn="0" w:firstRowLastColumn="0" w:lastRowFirstColumn="0" w:lastRowLastColumn="0"/>
            <w:tcW w:w="1231" w:type="dxa"/>
            <w:noWrap/>
            <w:vAlign w:val="center"/>
          </w:tcPr>
          <w:p w:rsidR="003007DA" w:rsidRDefault="003007DA" w:rsidP="003007DA">
            <w:pPr>
              <w:jc w:val="center"/>
              <w:rPr>
                <w:rFonts w:ascii="Calibri" w:eastAsia="Times New Roman" w:hAnsi="Calibri" w:cs="Calibri"/>
                <w:iCs/>
                <w:color w:val="000000"/>
                <w:sz w:val="20"/>
                <w:szCs w:val="20"/>
                <w:lang w:val="en-GB" w:eastAsia="en-GB"/>
              </w:rPr>
            </w:pPr>
            <w:r>
              <w:rPr>
                <w:rFonts w:ascii="Calibri" w:eastAsia="Times New Roman" w:hAnsi="Calibri" w:cs="Calibri"/>
                <w:iCs/>
                <w:color w:val="000000"/>
                <w:sz w:val="20"/>
                <w:szCs w:val="20"/>
                <w:lang w:val="en-GB" w:eastAsia="en-GB"/>
              </w:rPr>
              <w:t>6381</w:t>
            </w:r>
            <w:r w:rsidRPr="00433F79">
              <w:rPr>
                <w:rFonts w:ascii="Calibri" w:eastAsia="Times New Roman" w:hAnsi="Calibri" w:cs="Calibri"/>
                <w:iCs/>
                <w:color w:val="000000"/>
                <w:sz w:val="20"/>
                <w:szCs w:val="20"/>
                <w:lang w:val="en-GB" w:eastAsia="en-GB"/>
              </w:rPr>
              <w:t>00</w:t>
            </w:r>
          </w:p>
        </w:tc>
        <w:tc>
          <w:tcPr>
            <w:tcW w:w="5852" w:type="dxa"/>
            <w:gridSpan w:val="2"/>
            <w:noWrap/>
            <w:vAlign w:val="center"/>
          </w:tcPr>
          <w:p w:rsidR="003007DA" w:rsidRPr="00433F79" w:rsidRDefault="003007DA" w:rsidP="003007D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i/>
                <w:color w:val="000000"/>
                <w:sz w:val="20"/>
                <w:szCs w:val="20"/>
                <w:lang w:val="sr-Cyrl-BA" w:eastAsia="en-GB"/>
              </w:rPr>
            </w:pPr>
            <w:r>
              <w:rPr>
                <w:rFonts w:ascii="Calibri" w:eastAsia="Times New Roman" w:hAnsi="Calibri" w:cs="Calibri"/>
                <w:bCs/>
                <w:iCs/>
                <w:color w:val="000000"/>
                <w:sz w:val="20"/>
                <w:szCs w:val="20"/>
                <w:lang w:val="sr-Cyrl-RS" w:eastAsia="en-GB"/>
              </w:rPr>
              <w:t>Остали и</w:t>
            </w:r>
            <w:r w:rsidRPr="00433F79">
              <w:rPr>
                <w:rFonts w:ascii="Calibri" w:eastAsia="Times New Roman" w:hAnsi="Calibri" w:cs="Calibri"/>
                <w:bCs/>
                <w:iCs/>
                <w:color w:val="000000"/>
                <w:sz w:val="20"/>
                <w:szCs w:val="20"/>
                <w:lang w:val="en-GB" w:eastAsia="en-GB"/>
              </w:rPr>
              <w:t xml:space="preserve">здаци из трансакција </w:t>
            </w:r>
            <w:r w:rsidR="000522C4">
              <w:rPr>
                <w:rFonts w:ascii="Calibri" w:eastAsia="Times New Roman" w:hAnsi="Calibri" w:cs="Calibri"/>
                <w:bCs/>
                <w:iCs/>
                <w:color w:val="000000"/>
                <w:sz w:val="20"/>
                <w:szCs w:val="20"/>
                <w:lang w:val="sr-Cyrl-RS" w:eastAsia="en-GB"/>
              </w:rPr>
              <w:t xml:space="preserve">између или </w:t>
            </w:r>
            <w:r>
              <w:rPr>
                <w:rFonts w:ascii="Calibri" w:eastAsia="Times New Roman" w:hAnsi="Calibri" w:cs="Calibri"/>
                <w:bCs/>
                <w:iCs/>
                <w:color w:val="000000"/>
                <w:sz w:val="20"/>
                <w:szCs w:val="20"/>
                <w:lang w:val="sr-Cyrl-RS" w:eastAsia="en-GB"/>
              </w:rPr>
              <w:t>са другим</w:t>
            </w:r>
            <w:r w:rsidRPr="00433F79">
              <w:rPr>
                <w:rFonts w:ascii="Calibri" w:eastAsia="Times New Roman" w:hAnsi="Calibri" w:cs="Calibri"/>
                <w:bCs/>
                <w:iCs/>
                <w:color w:val="000000"/>
                <w:sz w:val="20"/>
                <w:szCs w:val="20"/>
                <w:lang w:val="en-GB" w:eastAsia="en-GB"/>
              </w:rPr>
              <w:t xml:space="preserve">  јединица</w:t>
            </w:r>
            <w:r>
              <w:rPr>
                <w:rFonts w:ascii="Calibri" w:eastAsia="Times New Roman" w:hAnsi="Calibri" w:cs="Calibri"/>
                <w:bCs/>
                <w:iCs/>
                <w:color w:val="000000"/>
                <w:sz w:val="20"/>
                <w:szCs w:val="20"/>
                <w:lang w:val="sr-Cyrl-RS" w:eastAsia="en-GB"/>
              </w:rPr>
              <w:t>ма</w:t>
            </w:r>
            <w:r w:rsidRPr="00433F79">
              <w:rPr>
                <w:rFonts w:ascii="Calibri" w:eastAsia="Times New Roman" w:hAnsi="Calibri" w:cs="Calibri"/>
                <w:bCs/>
                <w:iCs/>
                <w:color w:val="000000"/>
                <w:sz w:val="20"/>
                <w:szCs w:val="20"/>
                <w:lang w:val="en-GB" w:eastAsia="en-GB"/>
              </w:rPr>
              <w:t xml:space="preserve"> </w:t>
            </w:r>
            <w:r w:rsidR="000522C4">
              <w:rPr>
                <w:rFonts w:ascii="Calibri" w:eastAsia="Times New Roman" w:hAnsi="Calibri" w:cs="Calibri"/>
                <w:bCs/>
                <w:iCs/>
                <w:color w:val="000000"/>
                <w:sz w:val="20"/>
                <w:szCs w:val="20"/>
                <w:lang w:val="sr-Cyrl-RS" w:eastAsia="en-GB"/>
              </w:rPr>
              <w:t xml:space="preserve"> </w:t>
            </w:r>
            <w:r w:rsidRPr="00433F79">
              <w:rPr>
                <w:rFonts w:ascii="Calibri" w:eastAsia="Times New Roman" w:hAnsi="Calibri" w:cs="Calibri"/>
                <w:bCs/>
                <w:iCs/>
                <w:color w:val="000000"/>
                <w:sz w:val="20"/>
                <w:szCs w:val="20"/>
                <w:lang w:val="en-GB" w:eastAsia="en-GB"/>
              </w:rPr>
              <w:t xml:space="preserve"> власти</w:t>
            </w:r>
          </w:p>
        </w:tc>
        <w:tc>
          <w:tcPr>
            <w:tcW w:w="1984" w:type="dxa"/>
            <w:noWrap/>
            <w:vAlign w:val="center"/>
          </w:tcPr>
          <w:p w:rsidR="003007DA" w:rsidRPr="000522C4" w:rsidRDefault="003007DA" w:rsidP="003007DA">
            <w:pPr>
              <w:jc w:val="right"/>
              <w:cnfStyle w:val="000000100000" w:firstRow="0" w:lastRow="0" w:firstColumn="0" w:lastColumn="0" w:oddVBand="0" w:evenVBand="0" w:oddHBand="1" w:evenHBand="0" w:firstRowFirstColumn="0" w:firstRowLastColumn="0" w:lastRowFirstColumn="0" w:lastRowLastColumn="0"/>
              <w:rPr>
                <w:rFonts w:cstheme="minorHAnsi"/>
                <w:bCs/>
                <w:iCs/>
                <w:color w:val="000000"/>
                <w:sz w:val="20"/>
                <w:szCs w:val="20"/>
                <w:lang w:val="sr-Cyrl-RS"/>
              </w:rPr>
            </w:pPr>
            <w:r w:rsidRPr="000522C4">
              <w:rPr>
                <w:rFonts w:cstheme="minorHAnsi"/>
                <w:bCs/>
                <w:iCs/>
                <w:color w:val="000000"/>
                <w:sz w:val="20"/>
                <w:szCs w:val="20"/>
                <w:lang w:val="sr-Cyrl-RS"/>
              </w:rPr>
              <w:t>26.570,00</w:t>
            </w:r>
          </w:p>
        </w:tc>
        <w:tc>
          <w:tcPr>
            <w:tcW w:w="1701" w:type="dxa"/>
            <w:noWrap/>
            <w:vAlign w:val="center"/>
          </w:tcPr>
          <w:p w:rsidR="003007DA" w:rsidRPr="000522C4" w:rsidRDefault="003007DA" w:rsidP="003007DA">
            <w:pPr>
              <w:jc w:val="right"/>
              <w:cnfStyle w:val="000000100000" w:firstRow="0" w:lastRow="0" w:firstColumn="0" w:lastColumn="0" w:oddVBand="0" w:evenVBand="0" w:oddHBand="1" w:evenHBand="0" w:firstRowFirstColumn="0" w:firstRowLastColumn="0" w:lastRowFirstColumn="0" w:lastRowLastColumn="0"/>
              <w:rPr>
                <w:rFonts w:cstheme="minorHAnsi"/>
                <w:bCs/>
                <w:iCs/>
                <w:color w:val="000000"/>
                <w:sz w:val="20"/>
                <w:szCs w:val="20"/>
                <w:lang w:val="sr-Cyrl-RS"/>
              </w:rPr>
            </w:pPr>
            <w:r w:rsidRPr="000522C4">
              <w:rPr>
                <w:rFonts w:cstheme="minorHAnsi"/>
                <w:bCs/>
                <w:iCs/>
                <w:color w:val="000000"/>
                <w:sz w:val="20"/>
                <w:szCs w:val="20"/>
                <w:lang w:val="sr-Cyrl-RS"/>
              </w:rPr>
              <w:t>26.570,00</w:t>
            </w:r>
          </w:p>
        </w:tc>
        <w:tc>
          <w:tcPr>
            <w:tcW w:w="1701" w:type="dxa"/>
            <w:noWrap/>
            <w:vAlign w:val="center"/>
          </w:tcPr>
          <w:p w:rsidR="003007DA" w:rsidRPr="000522C4" w:rsidRDefault="003007DA" w:rsidP="003007DA">
            <w:pPr>
              <w:jc w:val="right"/>
              <w:cnfStyle w:val="000000100000" w:firstRow="0" w:lastRow="0" w:firstColumn="0" w:lastColumn="0" w:oddVBand="0" w:evenVBand="0" w:oddHBand="1" w:evenHBand="0" w:firstRowFirstColumn="0" w:firstRowLastColumn="0" w:lastRowFirstColumn="0" w:lastRowLastColumn="0"/>
              <w:rPr>
                <w:rFonts w:cstheme="minorHAnsi"/>
                <w:bCs/>
                <w:iCs/>
                <w:sz w:val="20"/>
                <w:szCs w:val="20"/>
                <w:lang w:val="sr-Cyrl-RS"/>
              </w:rPr>
            </w:pPr>
            <w:r w:rsidRPr="000522C4">
              <w:rPr>
                <w:rFonts w:cstheme="minorHAnsi"/>
                <w:bCs/>
                <w:iCs/>
                <w:sz w:val="20"/>
                <w:szCs w:val="20"/>
                <w:lang w:val="sr-Cyrl-RS"/>
              </w:rPr>
              <w:t>0,00</w:t>
            </w:r>
          </w:p>
        </w:tc>
      </w:tr>
      <w:tr w:rsidR="00F27DF5" w:rsidRPr="008E45AE" w:rsidTr="00F27DF5">
        <w:trPr>
          <w:trHeight w:val="481"/>
          <w:jc w:val="center"/>
        </w:trPr>
        <w:tc>
          <w:tcPr>
            <w:cnfStyle w:val="001000000000" w:firstRow="0" w:lastRow="0" w:firstColumn="1" w:lastColumn="0" w:oddVBand="0" w:evenVBand="0" w:oddHBand="0" w:evenHBand="0" w:firstRowFirstColumn="0" w:firstRowLastColumn="0" w:lastRowFirstColumn="0" w:lastRowLastColumn="0"/>
            <w:tcW w:w="7083" w:type="dxa"/>
            <w:gridSpan w:val="3"/>
            <w:noWrap/>
            <w:vAlign w:val="center"/>
            <w:hideMark/>
          </w:tcPr>
          <w:p w:rsidR="00F27DF5" w:rsidRPr="00F27DF5" w:rsidRDefault="00F27DF5" w:rsidP="0093237D">
            <w:pPr>
              <w:rPr>
                <w:rFonts w:ascii="Calibri" w:eastAsia="Times New Roman" w:hAnsi="Calibri" w:cs="Calibri"/>
                <w:bCs w:val="0"/>
                <w:i/>
                <w:color w:val="000000"/>
                <w:sz w:val="20"/>
                <w:szCs w:val="20"/>
                <w:lang w:val="en-GB" w:eastAsia="en-GB"/>
              </w:rPr>
            </w:pPr>
            <w:r w:rsidRPr="008E45AE">
              <w:rPr>
                <w:rFonts w:ascii="Calibri" w:eastAsia="Times New Roman" w:hAnsi="Calibri" w:cs="Calibri"/>
                <w:color w:val="000000"/>
                <w:sz w:val="20"/>
                <w:szCs w:val="20"/>
                <w:lang w:val="en-GB" w:eastAsia="en-GB"/>
              </w:rPr>
              <w:t> </w:t>
            </w:r>
            <w:r w:rsidRPr="00F27DF5">
              <w:rPr>
                <w:rFonts w:ascii="Calibri" w:eastAsia="Times New Roman" w:hAnsi="Calibri" w:cs="Calibri"/>
                <w:i/>
                <w:color w:val="000000"/>
                <w:sz w:val="20"/>
                <w:szCs w:val="20"/>
                <w:lang w:val="sr-Cyrl-RS" w:eastAsia="en-GB"/>
              </w:rPr>
              <w:t>УКУПНИ РАСХОДИ И ИЗДАЦИ</w:t>
            </w:r>
          </w:p>
        </w:tc>
        <w:tc>
          <w:tcPr>
            <w:tcW w:w="1984" w:type="dxa"/>
            <w:noWrap/>
            <w:vAlign w:val="center"/>
            <w:hideMark/>
          </w:tcPr>
          <w:p w:rsidR="00F27DF5" w:rsidRPr="000522C4" w:rsidRDefault="00F27DF5" w:rsidP="0093237D">
            <w:pPr>
              <w:jc w:val="right"/>
              <w:cnfStyle w:val="000000000000" w:firstRow="0" w:lastRow="0" w:firstColumn="0" w:lastColumn="0" w:oddVBand="0" w:evenVBand="0" w:oddHBand="0" w:evenHBand="0" w:firstRowFirstColumn="0" w:firstRowLastColumn="0" w:lastRowFirstColumn="0" w:lastRowLastColumn="0"/>
              <w:rPr>
                <w:rFonts w:cstheme="minorHAnsi"/>
                <w:b/>
                <w:bCs/>
                <w:i/>
                <w:iCs/>
                <w:color w:val="000000"/>
                <w:sz w:val="20"/>
                <w:szCs w:val="20"/>
              </w:rPr>
            </w:pPr>
            <w:r w:rsidRPr="000522C4">
              <w:rPr>
                <w:rFonts w:cstheme="minorHAnsi"/>
                <w:b/>
                <w:bCs/>
                <w:i/>
                <w:iCs/>
                <w:color w:val="000000"/>
                <w:sz w:val="20"/>
                <w:szCs w:val="20"/>
                <w:lang w:val="sr-Cyrl-RS"/>
              </w:rPr>
              <w:t>825.396</w:t>
            </w:r>
            <w:r w:rsidRPr="000522C4">
              <w:rPr>
                <w:rFonts w:cstheme="minorHAnsi"/>
                <w:b/>
                <w:bCs/>
                <w:i/>
                <w:iCs/>
                <w:color w:val="000000"/>
                <w:sz w:val="20"/>
                <w:szCs w:val="20"/>
              </w:rPr>
              <w:t>,00</w:t>
            </w:r>
          </w:p>
        </w:tc>
        <w:tc>
          <w:tcPr>
            <w:tcW w:w="1701" w:type="dxa"/>
            <w:noWrap/>
            <w:vAlign w:val="center"/>
            <w:hideMark/>
          </w:tcPr>
          <w:p w:rsidR="00F27DF5" w:rsidRPr="000522C4" w:rsidRDefault="00F27DF5" w:rsidP="0093237D">
            <w:pPr>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i/>
                <w:iCs/>
                <w:color w:val="000000"/>
                <w:sz w:val="20"/>
                <w:szCs w:val="20"/>
              </w:rPr>
            </w:pPr>
            <w:r w:rsidRPr="000522C4">
              <w:rPr>
                <w:rFonts w:ascii="Calibri" w:hAnsi="Calibri" w:cs="Calibri"/>
                <w:b/>
                <w:bCs/>
                <w:i/>
                <w:iCs/>
                <w:color w:val="000000"/>
                <w:sz w:val="20"/>
                <w:szCs w:val="20"/>
                <w:lang w:val="sr-Cyrl-RS"/>
              </w:rPr>
              <w:t>704.918</w:t>
            </w:r>
            <w:r w:rsidRPr="000522C4">
              <w:rPr>
                <w:rFonts w:ascii="Calibri" w:hAnsi="Calibri" w:cs="Calibri"/>
                <w:b/>
                <w:bCs/>
                <w:i/>
                <w:iCs/>
                <w:color w:val="000000"/>
                <w:sz w:val="20"/>
                <w:szCs w:val="20"/>
              </w:rPr>
              <w:t>,00</w:t>
            </w:r>
          </w:p>
        </w:tc>
        <w:tc>
          <w:tcPr>
            <w:tcW w:w="1701" w:type="dxa"/>
            <w:noWrap/>
            <w:vAlign w:val="center"/>
            <w:hideMark/>
          </w:tcPr>
          <w:p w:rsidR="00F27DF5" w:rsidRPr="000522C4" w:rsidRDefault="00F27DF5" w:rsidP="0093237D">
            <w:pPr>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i/>
                <w:iCs/>
                <w:color w:val="000000"/>
                <w:sz w:val="20"/>
                <w:szCs w:val="20"/>
              </w:rPr>
            </w:pPr>
            <w:r w:rsidRPr="000522C4">
              <w:rPr>
                <w:rFonts w:ascii="Calibri" w:hAnsi="Calibri" w:cs="Calibri"/>
                <w:b/>
                <w:bCs/>
                <w:i/>
                <w:iCs/>
                <w:color w:val="000000"/>
                <w:sz w:val="20"/>
                <w:szCs w:val="20"/>
                <w:lang w:val="sr-Cyrl-RS"/>
              </w:rPr>
              <w:t>120.478</w:t>
            </w:r>
            <w:r w:rsidRPr="000522C4">
              <w:rPr>
                <w:rFonts w:ascii="Calibri" w:hAnsi="Calibri" w:cs="Calibri"/>
                <w:b/>
                <w:bCs/>
                <w:i/>
                <w:iCs/>
                <w:color w:val="000000"/>
                <w:sz w:val="20"/>
                <w:szCs w:val="20"/>
              </w:rPr>
              <w:t>,00</w:t>
            </w:r>
          </w:p>
        </w:tc>
      </w:tr>
    </w:tbl>
    <w:p w:rsidR="00E3111E" w:rsidRDefault="00E3111E" w:rsidP="009B251D">
      <w:pPr>
        <w:ind w:left="10080" w:firstLine="720"/>
        <w:rPr>
          <w:rFonts w:cstheme="minorHAnsi"/>
          <w:lang w:val="sr-Cyrl-BA"/>
        </w:rPr>
      </w:pPr>
    </w:p>
    <w:p w:rsidR="009B251D" w:rsidRDefault="009B251D" w:rsidP="009B251D">
      <w:pPr>
        <w:ind w:left="10080" w:firstLine="720"/>
        <w:rPr>
          <w:rFonts w:cstheme="minorHAnsi"/>
          <w:lang w:val="sr-Cyrl-BA"/>
        </w:rPr>
      </w:pPr>
      <w:r>
        <w:rPr>
          <w:rFonts w:cstheme="minorHAnsi"/>
          <w:lang w:val="sr-Cyrl-BA"/>
        </w:rPr>
        <w:t>Директор</w:t>
      </w:r>
    </w:p>
    <w:p w:rsidR="009B251D" w:rsidRDefault="009B251D" w:rsidP="009B251D">
      <w:pPr>
        <w:jc w:val="both"/>
        <w:rPr>
          <w:rFonts w:cstheme="minorHAnsi"/>
          <w:lang w:val="sr-Cyrl-BA"/>
        </w:rPr>
      </w:pPr>
    </w:p>
    <w:p w:rsidR="009B251D" w:rsidRDefault="009B251D" w:rsidP="009B251D">
      <w:pPr>
        <w:jc w:val="both"/>
        <w:rPr>
          <w:rFonts w:cstheme="minorHAnsi"/>
          <w:lang w:val="sr-Cyrl-BA"/>
        </w:rPr>
      </w:pPr>
      <w:r>
        <w:rPr>
          <w:rFonts w:cstheme="minorHAnsi"/>
          <w:lang w:val="sr-Cyrl-BA"/>
        </w:rPr>
        <w:t xml:space="preserve">                                                                                                                                                                                          Проф. др Биљана Војводић</w:t>
      </w:r>
    </w:p>
    <w:sectPr w:rsidR="009B251D" w:rsidSect="00D16746">
      <w:footerReference w:type="default" r:id="rId15"/>
      <w:pgSz w:w="16840" w:h="11900" w:orient="landscape"/>
      <w:pgMar w:top="1440" w:right="850" w:bottom="1440" w:left="1440"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77E" w:rsidRDefault="0083677E" w:rsidP="00E41D2E">
      <w:r>
        <w:separator/>
      </w:r>
    </w:p>
  </w:endnote>
  <w:endnote w:type="continuationSeparator" w:id="0">
    <w:p w:rsidR="0083677E" w:rsidRDefault="0083677E" w:rsidP="00E4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Mincho">
    <w:altName w:val="MS Gothic"/>
    <w:charset w:val="80"/>
    <w:family w:val="roman"/>
    <w:pitch w:val="variable"/>
    <w:sig w:usb0="E00002FF" w:usb1="6AC7FDFB" w:usb2="00000012" w:usb3="00000000" w:csb0="0002009F" w:csb1="00000000"/>
  </w:font>
  <w:font w:name="Helvetica">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FB4" w:rsidRPr="00D16746" w:rsidRDefault="00CC1FB4" w:rsidP="0008537D">
    <w:pPr>
      <w:pStyle w:val="Footer"/>
      <w:jc w:val="right"/>
      <w:rPr>
        <w:rFonts w:ascii="Times New Roman" w:hAnsi="Times New Roman" w:cs="Times New Roman"/>
        <w:sz w:val="22"/>
        <w:szCs w:val="22"/>
        <w:lang w:val="sr-Cyrl-RS"/>
      </w:rPr>
    </w:pPr>
    <w:r w:rsidRPr="00CA192A">
      <w:rPr>
        <w:rFonts w:ascii="Times New Roman" w:hAnsi="Times New Roman" w:cs="Times New Roman"/>
        <w:sz w:val="22"/>
        <w:szCs w:val="22"/>
      </w:rPr>
      <w:fldChar w:fldCharType="begin"/>
    </w:r>
    <w:r w:rsidRPr="00CA192A">
      <w:rPr>
        <w:rFonts w:ascii="Times New Roman" w:hAnsi="Times New Roman" w:cs="Times New Roman"/>
        <w:sz w:val="22"/>
        <w:szCs w:val="22"/>
      </w:rPr>
      <w:instrText xml:space="preserve"> PAGE  \* Arabic  \* MERGEFORMAT </w:instrText>
    </w:r>
    <w:r w:rsidRPr="00CA192A">
      <w:rPr>
        <w:rFonts w:ascii="Times New Roman" w:hAnsi="Times New Roman" w:cs="Times New Roman"/>
        <w:sz w:val="22"/>
        <w:szCs w:val="22"/>
      </w:rPr>
      <w:fldChar w:fldCharType="separate"/>
    </w:r>
    <w:r w:rsidR="001D56A0">
      <w:rPr>
        <w:rFonts w:ascii="Times New Roman" w:hAnsi="Times New Roman" w:cs="Times New Roman"/>
        <w:noProof/>
        <w:sz w:val="22"/>
        <w:szCs w:val="22"/>
      </w:rPr>
      <w:t>22</w:t>
    </w:r>
    <w:r w:rsidRPr="00CA192A">
      <w:rPr>
        <w:rFonts w:ascii="Times New Roman" w:hAnsi="Times New Roman" w:cs="Times New Roman"/>
        <w:sz w:val="22"/>
        <w:szCs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6F1" w:rsidRDefault="008B46F1" w:rsidP="008B46F1">
    <w:pPr>
      <w:spacing w:after="160" w:line="256" w:lineRule="auto"/>
      <w:ind w:hanging="11"/>
      <w:jc w:val="center"/>
      <w:rPr>
        <w:rFonts w:ascii="Calibri" w:eastAsia="Calibri" w:hAnsi="Calibri" w:cs="Calibri"/>
        <w:noProof/>
        <w:color w:val="1F4E79"/>
        <w:sz w:val="18"/>
        <w:szCs w:val="18"/>
        <w:lang w:val="sr-Cyrl-RS" w:eastAsia="en-GB"/>
      </w:rPr>
    </w:pPr>
    <w:r>
      <w:rPr>
        <w:rFonts w:ascii="Calibri" w:eastAsia="Calibri" w:hAnsi="Calibri" w:cs="Times New Roman"/>
        <w:noProof/>
        <w:color w:val="1F4E79"/>
        <w:sz w:val="18"/>
        <w:szCs w:val="18"/>
        <w:lang w:val="sr-Cyrl-RS" w:eastAsia="en-GB"/>
      </w:rPr>
      <w:t xml:space="preserve">Агенција за високо образовање Републике Српске </w:t>
    </w:r>
    <w:r>
      <w:rPr>
        <w:rFonts w:ascii="Calibri" w:eastAsia="Calibri" w:hAnsi="Calibri" w:cs="Calibri"/>
        <w:noProof/>
        <w:color w:val="1F4E79"/>
        <w:sz w:val="18"/>
        <w:szCs w:val="18"/>
        <w:lang w:val="sr-Cyrl-RS" w:eastAsia="en-GB"/>
      </w:rPr>
      <w:t>│ Бана Милосављевића 8, 78 000 Бања Лука, Република Српска, БиХ │тел. + 387 51 922 0</w:t>
    </w:r>
    <w:r>
      <w:rPr>
        <w:rFonts w:ascii="Calibri" w:eastAsia="Calibri" w:hAnsi="Calibri" w:cs="Calibri"/>
        <w:noProof/>
        <w:color w:val="1F4E79"/>
        <w:sz w:val="18"/>
        <w:szCs w:val="18"/>
        <w:lang w:val="sr-Latn-RS" w:eastAsia="en-GB"/>
      </w:rPr>
      <w:t>81</w:t>
    </w:r>
    <w:r>
      <w:rPr>
        <w:rFonts w:ascii="Calibri" w:eastAsia="Calibri" w:hAnsi="Calibri" w:cs="Calibri"/>
        <w:noProof/>
        <w:color w:val="1F4E79"/>
        <w:sz w:val="18"/>
        <w:szCs w:val="18"/>
        <w:lang w:val="sr-Cyrl-RS" w:eastAsia="en-GB"/>
      </w:rPr>
      <w:t xml:space="preserve"> │ Факс + 387 51 922 080 │е-</w:t>
    </w:r>
    <w:r>
      <w:rPr>
        <w:rFonts w:ascii="Calibri" w:eastAsia="Calibri" w:hAnsi="Calibri" w:cs="Calibri"/>
        <w:noProof/>
        <w:color w:val="1F4E79"/>
        <w:sz w:val="18"/>
        <w:szCs w:val="18"/>
        <w:lang w:val="sr-Latn-RS" w:eastAsia="en-GB"/>
      </w:rPr>
      <w:t>mail</w:t>
    </w:r>
    <w:r>
      <w:rPr>
        <w:rFonts w:ascii="Calibri" w:eastAsia="Calibri" w:hAnsi="Calibri" w:cs="Calibri"/>
        <w:noProof/>
        <w:color w:val="1F4E79"/>
        <w:sz w:val="18"/>
        <w:szCs w:val="18"/>
        <w:lang w:val="sr-Cyrl-RS" w:eastAsia="en-GB"/>
      </w:rPr>
      <w:t xml:space="preserve">: </w:t>
    </w:r>
    <w:hyperlink r:id="rId1" w:history="1">
      <w:r>
        <w:rPr>
          <w:rStyle w:val="Hyperlink"/>
          <w:rFonts w:ascii="Calibri" w:eastAsia="Calibri" w:hAnsi="Calibri" w:cs="Calibri"/>
          <w:noProof/>
          <w:sz w:val="18"/>
          <w:szCs w:val="18"/>
          <w:lang w:val="sr-Latn-RS" w:eastAsia="en-GB"/>
        </w:rPr>
        <w:t>info@avors.org</w:t>
      </w:r>
    </w:hyperlink>
    <w:r>
      <w:rPr>
        <w:rFonts w:ascii="Calibri" w:eastAsia="Calibri" w:hAnsi="Calibri" w:cs="Calibri"/>
        <w:noProof/>
        <w:color w:val="1F4E79"/>
        <w:sz w:val="18"/>
        <w:szCs w:val="18"/>
        <w:lang w:val="sr-Latn-RS" w:eastAsia="en-GB"/>
      </w:rPr>
      <w:t xml:space="preserve"> │www.avors.org</w:t>
    </w:r>
  </w:p>
  <w:p w:rsidR="008B46F1" w:rsidRDefault="008B46F1">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FB4" w:rsidRPr="00D16746" w:rsidRDefault="00CC1FB4" w:rsidP="00AC1B1E">
    <w:pPr>
      <w:pStyle w:val="Footer"/>
      <w:ind w:right="516"/>
      <w:jc w:val="right"/>
      <w:rPr>
        <w:rFonts w:ascii="Times New Roman" w:hAnsi="Times New Roman" w:cs="Times New Roman"/>
        <w:sz w:val="22"/>
        <w:szCs w:val="22"/>
        <w:lang w:val="sr-Cyrl-RS"/>
      </w:rPr>
    </w:pPr>
    <w:r w:rsidRPr="00CA192A">
      <w:rPr>
        <w:rFonts w:ascii="Times New Roman" w:hAnsi="Times New Roman" w:cs="Times New Roman"/>
        <w:sz w:val="22"/>
        <w:szCs w:val="22"/>
      </w:rPr>
      <w:fldChar w:fldCharType="begin"/>
    </w:r>
    <w:r w:rsidRPr="00CA192A">
      <w:rPr>
        <w:rFonts w:ascii="Times New Roman" w:hAnsi="Times New Roman" w:cs="Times New Roman"/>
        <w:sz w:val="22"/>
        <w:szCs w:val="22"/>
      </w:rPr>
      <w:instrText xml:space="preserve"> PAGE  \* Arabic  \* MERGEFORMAT </w:instrText>
    </w:r>
    <w:r w:rsidRPr="00CA192A">
      <w:rPr>
        <w:rFonts w:ascii="Times New Roman" w:hAnsi="Times New Roman" w:cs="Times New Roman"/>
        <w:sz w:val="22"/>
        <w:szCs w:val="22"/>
      </w:rPr>
      <w:fldChar w:fldCharType="separate"/>
    </w:r>
    <w:r w:rsidR="001D56A0">
      <w:rPr>
        <w:rFonts w:ascii="Times New Roman" w:hAnsi="Times New Roman" w:cs="Times New Roman"/>
        <w:noProof/>
        <w:sz w:val="22"/>
        <w:szCs w:val="22"/>
      </w:rPr>
      <w:t>25</w:t>
    </w:r>
    <w:r w:rsidRPr="00CA192A">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77E" w:rsidRDefault="0083677E" w:rsidP="00E41D2E">
      <w:r>
        <w:separator/>
      </w:r>
    </w:p>
  </w:footnote>
  <w:footnote w:type="continuationSeparator" w:id="0">
    <w:p w:rsidR="0083677E" w:rsidRDefault="0083677E" w:rsidP="00E41D2E">
      <w:r>
        <w:continuationSeparator/>
      </w:r>
    </w:p>
  </w:footnote>
  <w:footnote w:id="1">
    <w:p w:rsidR="00CC1FB4" w:rsidRPr="00514955" w:rsidRDefault="00CC1FB4" w:rsidP="000725E5">
      <w:pPr>
        <w:pStyle w:val="FootnoteText"/>
        <w:rPr>
          <w:rFonts w:cstheme="minorHAnsi"/>
          <w:sz w:val="18"/>
          <w:szCs w:val="18"/>
          <w:lang w:val="sr-Cyrl-RS"/>
        </w:rPr>
      </w:pPr>
      <w:r w:rsidRPr="00514955">
        <w:rPr>
          <w:rStyle w:val="FootnoteReference"/>
          <w:rFonts w:cstheme="minorHAnsi"/>
          <w:sz w:val="18"/>
          <w:szCs w:val="18"/>
        </w:rPr>
        <w:footnoteRef/>
      </w:r>
      <w:r w:rsidRPr="00514955">
        <w:rPr>
          <w:rFonts w:cstheme="minorHAnsi"/>
          <w:sz w:val="18"/>
          <w:szCs w:val="18"/>
        </w:rPr>
        <w:t xml:space="preserve"> </w:t>
      </w:r>
      <w:r w:rsidRPr="00514955">
        <w:rPr>
          <w:rFonts w:cstheme="minorHAnsi"/>
          <w:sz w:val="18"/>
          <w:szCs w:val="18"/>
          <w:lang w:val="sr-Cyrl-BA"/>
        </w:rPr>
        <w:t>„</w:t>
      </w:r>
      <w:r w:rsidRPr="00514955">
        <w:rPr>
          <w:rFonts w:cstheme="minorHAnsi"/>
          <w:sz w:val="18"/>
          <w:szCs w:val="18"/>
          <w:lang w:val="sr-Cyrl-RS"/>
        </w:rPr>
        <w:t>Службени гласник Републике Српске</w:t>
      </w:r>
      <w:r w:rsidRPr="00514955">
        <w:rPr>
          <w:rFonts w:cstheme="minorHAnsi"/>
          <w:sz w:val="18"/>
          <w:szCs w:val="18"/>
          <w:lang w:val="sr-Cyrl-BA"/>
        </w:rPr>
        <w:t>“</w:t>
      </w:r>
      <w:r w:rsidRPr="00514955">
        <w:rPr>
          <w:rFonts w:cstheme="minorHAnsi"/>
          <w:sz w:val="18"/>
          <w:szCs w:val="18"/>
          <w:lang w:val="sr-Cyrl-RS"/>
        </w:rPr>
        <w:t>, број 67/20</w:t>
      </w:r>
      <w:r>
        <w:rPr>
          <w:rFonts w:cstheme="minorHAnsi"/>
          <w:sz w:val="18"/>
          <w:szCs w:val="18"/>
          <w:lang w:val="sr-Cyrl-RS"/>
        </w:rPr>
        <w:t xml:space="preserve"> </w:t>
      </w:r>
      <w:r w:rsidRPr="00FF2D84">
        <w:rPr>
          <w:rFonts w:cstheme="minorHAnsi"/>
          <w:sz w:val="22"/>
          <w:szCs w:val="22"/>
          <w:shd w:val="clear" w:color="auto" w:fill="FFFFFF"/>
          <w:lang w:val="sr-Cyrl-RS"/>
        </w:rPr>
        <w:t xml:space="preserve">и </w:t>
      </w:r>
      <w:r w:rsidRPr="00706440">
        <w:rPr>
          <w:rFonts w:cstheme="minorHAnsi"/>
          <w:sz w:val="18"/>
          <w:szCs w:val="18"/>
          <w:lang w:val="sr-Cyrl-RS"/>
        </w:rPr>
        <w:t>16/23</w:t>
      </w:r>
    </w:p>
  </w:footnote>
  <w:footnote w:id="2">
    <w:p w:rsidR="00CC1FB4" w:rsidRPr="00D8009A" w:rsidRDefault="00CC1FB4">
      <w:pPr>
        <w:pStyle w:val="FootnoteText"/>
        <w:rPr>
          <w:rFonts w:cstheme="minorHAnsi"/>
          <w:sz w:val="18"/>
          <w:szCs w:val="18"/>
          <w:lang w:val="sr-Cyrl-RS"/>
        </w:rPr>
      </w:pPr>
      <w:r>
        <w:rPr>
          <w:rStyle w:val="FootnoteReference"/>
        </w:rPr>
        <w:footnoteRef/>
      </w:r>
      <w:r>
        <w:t xml:space="preserve"> </w:t>
      </w:r>
      <w:r w:rsidRPr="00514955">
        <w:rPr>
          <w:rFonts w:cstheme="minorHAnsi"/>
          <w:sz w:val="18"/>
          <w:szCs w:val="18"/>
          <w:lang w:val="sr-Cyrl-BA"/>
        </w:rPr>
        <w:t>„</w:t>
      </w:r>
      <w:r w:rsidRPr="00514955">
        <w:rPr>
          <w:rFonts w:cstheme="minorHAnsi"/>
          <w:sz w:val="18"/>
          <w:szCs w:val="18"/>
          <w:lang w:val="sr-Cyrl-RS"/>
        </w:rPr>
        <w:t>Службени гласник Републике Српске</w:t>
      </w:r>
      <w:r w:rsidRPr="00514955">
        <w:rPr>
          <w:rFonts w:cstheme="minorHAnsi"/>
          <w:sz w:val="18"/>
          <w:szCs w:val="18"/>
          <w:lang w:val="sr-Cyrl-BA"/>
        </w:rPr>
        <w:t>“</w:t>
      </w:r>
      <w:r w:rsidRPr="00514955">
        <w:rPr>
          <w:rFonts w:cstheme="minorHAnsi"/>
          <w:sz w:val="18"/>
          <w:szCs w:val="18"/>
          <w:lang w:val="sr-Cyrl-RS"/>
        </w:rPr>
        <w:t xml:space="preserve">, број </w:t>
      </w:r>
      <w:r>
        <w:rPr>
          <w:rFonts w:cstheme="minorHAnsi"/>
          <w:sz w:val="18"/>
          <w:szCs w:val="18"/>
          <w:lang w:val="sr-Cyrl-RS"/>
        </w:rPr>
        <w:t>42</w:t>
      </w:r>
      <w:r w:rsidRPr="00514955">
        <w:rPr>
          <w:rFonts w:cstheme="minorHAnsi"/>
          <w:sz w:val="18"/>
          <w:szCs w:val="18"/>
          <w:lang w:val="sr-Cyrl-RS"/>
        </w:rPr>
        <w:t>/</w:t>
      </w:r>
      <w:r>
        <w:rPr>
          <w:rFonts w:cstheme="minorHAnsi"/>
          <w:sz w:val="18"/>
          <w:szCs w:val="18"/>
          <w:lang w:val="sr-Cyrl-RS"/>
        </w:rPr>
        <w:t xml:space="preserve">24 </w:t>
      </w:r>
    </w:p>
  </w:footnote>
  <w:footnote w:id="3">
    <w:p w:rsidR="00CC1FB4" w:rsidRPr="00514955" w:rsidRDefault="00CC1FB4" w:rsidP="000725E5">
      <w:pPr>
        <w:pStyle w:val="FootnoteText"/>
        <w:rPr>
          <w:rFonts w:cstheme="minorHAnsi"/>
          <w:sz w:val="18"/>
          <w:szCs w:val="18"/>
          <w:lang w:val="sr-Cyrl-RS"/>
        </w:rPr>
      </w:pPr>
      <w:r w:rsidRPr="00514955">
        <w:rPr>
          <w:rStyle w:val="FootnoteReference"/>
          <w:rFonts w:cstheme="minorHAnsi"/>
          <w:sz w:val="18"/>
          <w:szCs w:val="18"/>
        </w:rPr>
        <w:footnoteRef/>
      </w:r>
      <w:r w:rsidRPr="00514955">
        <w:rPr>
          <w:rFonts w:cstheme="minorHAnsi"/>
          <w:sz w:val="18"/>
          <w:szCs w:val="18"/>
        </w:rPr>
        <w:t xml:space="preserve"> </w:t>
      </w:r>
      <w:r w:rsidRPr="00514955">
        <w:rPr>
          <w:rFonts w:cstheme="minorHAnsi"/>
          <w:sz w:val="18"/>
          <w:szCs w:val="18"/>
          <w:lang w:val="sr-Cyrl-BA"/>
        </w:rPr>
        <w:t>„</w:t>
      </w:r>
      <w:r w:rsidRPr="00514955">
        <w:rPr>
          <w:rFonts w:cstheme="minorHAnsi"/>
          <w:sz w:val="18"/>
          <w:szCs w:val="18"/>
          <w:lang w:val="sr-Cyrl-RS"/>
        </w:rPr>
        <w:t>Службени гласник Републике Српске</w:t>
      </w:r>
      <w:r w:rsidRPr="00514955">
        <w:rPr>
          <w:rFonts w:cstheme="minorHAnsi"/>
          <w:sz w:val="18"/>
          <w:szCs w:val="18"/>
          <w:lang w:val="sr-Cyrl-BA"/>
        </w:rPr>
        <w:t>“</w:t>
      </w:r>
      <w:r w:rsidRPr="00514955">
        <w:rPr>
          <w:rFonts w:cstheme="minorHAnsi"/>
          <w:sz w:val="18"/>
          <w:szCs w:val="18"/>
          <w:lang w:val="sr-Cyrl-RS"/>
        </w:rPr>
        <w:t>, број 103/20</w:t>
      </w:r>
    </w:p>
    <w:p w:rsidR="00CC1FB4" w:rsidRPr="003D408F" w:rsidRDefault="00CC1FB4" w:rsidP="000725E5">
      <w:pPr>
        <w:pStyle w:val="FootnoteText"/>
        <w:rPr>
          <w:lang w:val="sr-Cyrl-RS"/>
        </w:rPr>
      </w:pPr>
    </w:p>
  </w:footnote>
  <w:footnote w:id="4">
    <w:p w:rsidR="00CC1FB4" w:rsidRPr="00E01A2D" w:rsidRDefault="00CC1FB4" w:rsidP="002435A4">
      <w:pPr>
        <w:pStyle w:val="FootnoteText"/>
        <w:jc w:val="both"/>
        <w:rPr>
          <w:rFonts w:ascii="Calibri" w:hAnsi="Calibri" w:cs="Calibri"/>
          <w:lang w:val="sr-Cyrl-BA" w:eastAsia="bs-Latn-BA"/>
        </w:rPr>
      </w:pPr>
      <w:r>
        <w:rPr>
          <w:rStyle w:val="FootnoteReference"/>
        </w:rPr>
        <w:footnoteRef/>
      </w:r>
      <w:r>
        <w:t xml:space="preserve"> </w:t>
      </w:r>
      <w:r w:rsidRPr="00E01A2D">
        <w:rPr>
          <w:rFonts w:ascii="Calibri" w:hAnsi="Calibri" w:cs="Calibri"/>
          <w:lang w:val="sr-Cyrl-BA" w:eastAsia="bs-Latn-BA"/>
        </w:rPr>
        <w:t xml:space="preserve">Standards and Guidelines for Quality Assurance in the European Higher Education Area -  ESG </w:t>
      </w:r>
    </w:p>
  </w:footnote>
  <w:footnote w:id="5">
    <w:p w:rsidR="00CC1FB4" w:rsidRPr="00410F76" w:rsidRDefault="00CC1FB4" w:rsidP="009C0F2A">
      <w:pPr>
        <w:pStyle w:val="FootnoteText"/>
        <w:rPr>
          <w:lang w:val="sr-Cyrl-RS"/>
        </w:rPr>
      </w:pPr>
      <w:r>
        <w:rPr>
          <w:rStyle w:val="FootnoteReference"/>
        </w:rPr>
        <w:footnoteRef/>
      </w:r>
      <w:r>
        <w:t xml:space="preserve">  </w:t>
      </w:r>
      <w:r>
        <w:rPr>
          <w:lang w:val="sr-Latn-RS"/>
        </w:rPr>
        <w:t>European Higher Education Area (</w:t>
      </w:r>
      <w:r>
        <w:rPr>
          <w:lang w:val="sr-Cyrl-RS"/>
        </w:rPr>
        <w:t>Европски простор високог образовања)</w:t>
      </w:r>
    </w:p>
    <w:p w:rsidR="00CC1FB4" w:rsidRPr="009C0F2A" w:rsidRDefault="00CC1FB4">
      <w:pPr>
        <w:pStyle w:val="FootnoteText"/>
        <w:rPr>
          <w:lang w:val="sr-Cyrl-RS"/>
        </w:rPr>
      </w:pPr>
    </w:p>
  </w:footnote>
  <w:footnote w:id="6">
    <w:p w:rsidR="00CC1FB4" w:rsidRPr="00A92955" w:rsidRDefault="00CC1FB4" w:rsidP="00E01A2D">
      <w:pPr>
        <w:pStyle w:val="FootnoteText"/>
        <w:rPr>
          <w:lang w:val="sr-Cyrl-BA"/>
        </w:rPr>
      </w:pPr>
      <w:r>
        <w:rPr>
          <w:rStyle w:val="FootnoteReference"/>
        </w:rPr>
        <w:footnoteRef/>
      </w:r>
      <w:r>
        <w:t xml:space="preserve"> </w:t>
      </w:r>
      <w:r w:rsidRPr="00A92955">
        <w:rPr>
          <w:rFonts w:ascii="Calibri" w:hAnsi="Calibri" w:cs="Calibri"/>
          <w:lang w:val="sr-Cyrl-BA" w:eastAsia="bs-Latn-BA"/>
        </w:rPr>
        <w:t>European Association for Quality Assurance in Higher Education – ENQA</w:t>
      </w:r>
    </w:p>
  </w:footnote>
  <w:footnote w:id="7">
    <w:p w:rsidR="00CC1FB4" w:rsidRPr="00E01A2D" w:rsidRDefault="00CC1FB4">
      <w:pPr>
        <w:pStyle w:val="FootnoteText"/>
        <w:rPr>
          <w:rFonts w:ascii="Calibri" w:hAnsi="Calibri" w:cs="Calibri"/>
          <w:lang w:val="en-GB" w:eastAsia="bs-Latn-BA"/>
        </w:rPr>
      </w:pPr>
      <w:r>
        <w:rPr>
          <w:rStyle w:val="FootnoteReference"/>
        </w:rPr>
        <w:footnoteRef/>
      </w:r>
      <w:r>
        <w:t xml:space="preserve"> </w:t>
      </w:r>
      <w:r w:rsidRPr="00E01A2D">
        <w:rPr>
          <w:rFonts w:ascii="Calibri" w:hAnsi="Calibri" w:cs="Calibri"/>
          <w:lang w:val="sr-Cyrl-BA" w:eastAsia="bs-Latn-BA"/>
        </w:rPr>
        <w:t>The European Quality Assurance Register for Higher Education</w:t>
      </w:r>
      <w:r>
        <w:rPr>
          <w:rFonts w:ascii="Calibri" w:hAnsi="Calibri" w:cs="Calibri"/>
          <w:lang w:val="en-GB" w:eastAsia="bs-Latn-BA"/>
        </w:rPr>
        <w:t xml:space="preserve"> </w:t>
      </w:r>
      <w:r w:rsidRPr="00A92955">
        <w:rPr>
          <w:rFonts w:ascii="Calibri" w:hAnsi="Calibri" w:cs="Calibri"/>
          <w:lang w:val="sr-Cyrl-BA" w:eastAsia="bs-Latn-BA"/>
        </w:rPr>
        <w:t xml:space="preserve">– </w:t>
      </w:r>
      <w:r>
        <w:rPr>
          <w:rFonts w:ascii="Calibri" w:hAnsi="Calibri" w:cs="Calibri"/>
          <w:lang w:val="en-GB" w:eastAsia="bs-Latn-BA"/>
        </w:rPr>
        <w:t xml:space="preserve"> </w:t>
      </w:r>
      <w:r w:rsidRPr="002435A4">
        <w:rPr>
          <w:rFonts w:cstheme="minorHAnsi"/>
          <w:sz w:val="22"/>
          <w:szCs w:val="22"/>
          <w:lang w:val="sr-Cyrl-BA" w:eastAsia="en-GB"/>
        </w:rPr>
        <w:t>ЕQАR</w:t>
      </w:r>
    </w:p>
  </w:footnote>
  <w:footnote w:id="8">
    <w:p w:rsidR="00CC1FB4" w:rsidRPr="00E01A2D" w:rsidRDefault="00CC1FB4">
      <w:pPr>
        <w:pStyle w:val="FootnoteText"/>
        <w:rPr>
          <w:rFonts w:ascii="Calibri" w:hAnsi="Calibri" w:cs="Calibri"/>
          <w:lang w:val="en-GB" w:eastAsia="bs-Latn-BA"/>
        </w:rPr>
      </w:pPr>
      <w:r>
        <w:rPr>
          <w:rStyle w:val="FootnoteReference"/>
        </w:rPr>
        <w:footnoteRef/>
      </w:r>
      <w:r>
        <w:t xml:space="preserve"> </w:t>
      </w:r>
      <w:r w:rsidRPr="00E01A2D">
        <w:rPr>
          <w:rFonts w:ascii="Calibri" w:hAnsi="Calibri" w:cs="Calibri"/>
          <w:lang w:val="sr-Cyrl-BA" w:eastAsia="bs-Latn-BA"/>
        </w:rPr>
        <w:t>Database of External Quality Assurance Results</w:t>
      </w:r>
      <w:r>
        <w:rPr>
          <w:rFonts w:ascii="Calibri" w:hAnsi="Calibri" w:cs="Calibri"/>
          <w:lang w:val="en-GB" w:eastAsia="bs-Latn-BA"/>
        </w:rPr>
        <w:t xml:space="preserve"> </w:t>
      </w:r>
      <w:r w:rsidRPr="00A92955">
        <w:rPr>
          <w:rFonts w:ascii="Calibri" w:hAnsi="Calibri" w:cs="Calibri"/>
          <w:lang w:val="sr-Cyrl-BA" w:eastAsia="bs-Latn-BA"/>
        </w:rPr>
        <w:t xml:space="preserve">– </w:t>
      </w:r>
      <w:r>
        <w:rPr>
          <w:rFonts w:ascii="Calibri" w:hAnsi="Calibri" w:cs="Calibri"/>
          <w:lang w:val="en-GB" w:eastAsia="bs-Latn-BA"/>
        </w:rPr>
        <w:t xml:space="preserve"> </w:t>
      </w:r>
      <w:r w:rsidRPr="002435A4">
        <w:rPr>
          <w:rFonts w:cstheme="minorHAnsi"/>
          <w:sz w:val="22"/>
          <w:szCs w:val="22"/>
          <w:lang w:val="sr-Cyrl-BA" w:eastAsia="en-GB"/>
        </w:rPr>
        <w:t>DEQAR</w:t>
      </w:r>
      <w:r>
        <w:rPr>
          <w:rFonts w:ascii="Calibri" w:hAnsi="Calibri" w:cs="Calibri"/>
          <w:lang w:val="en-GB" w:eastAsia="bs-Latn-BA"/>
        </w:rPr>
        <w:t xml:space="preserve"> </w:t>
      </w:r>
    </w:p>
  </w:footnote>
  <w:footnote w:id="9">
    <w:p w:rsidR="00CC1FB4" w:rsidRPr="005C219C" w:rsidRDefault="00CC1FB4" w:rsidP="007C3FCD">
      <w:pPr>
        <w:pStyle w:val="FootnoteText"/>
        <w:rPr>
          <w:lang w:val="sr-Cyrl-RS"/>
        </w:rPr>
      </w:pPr>
      <w:r>
        <w:rPr>
          <w:rStyle w:val="FootnoteReference"/>
        </w:rPr>
        <w:footnoteRef/>
      </w:r>
      <w:r>
        <w:t xml:space="preserve"> </w:t>
      </w:r>
      <w:r w:rsidRPr="005C219C">
        <w:t>https://www.tuzilastvobih.gov.ba/?opcija=sadrzaj&amp;kat=12&amp;id=105&amp;jezik=s</w:t>
      </w:r>
    </w:p>
  </w:footnote>
  <w:footnote w:id="10">
    <w:p w:rsidR="00CC1FB4" w:rsidRPr="008A281A" w:rsidRDefault="00CC1FB4" w:rsidP="001A4B0E">
      <w:pPr>
        <w:pStyle w:val="FootnoteText"/>
        <w:jc w:val="both"/>
        <w:rPr>
          <w:lang w:val="sr-Latn-RS"/>
        </w:rPr>
      </w:pPr>
      <w:r>
        <w:rPr>
          <w:rStyle w:val="FootnoteReference"/>
        </w:rPr>
        <w:footnoteRef/>
      </w:r>
      <w:r>
        <w:t xml:space="preserve"> </w:t>
      </w:r>
      <w:r>
        <w:rPr>
          <w:lang w:val="sr-Latn-RS"/>
        </w:rPr>
        <w:t>The Hungarian Accreditation Comittee - MAB</w:t>
      </w:r>
    </w:p>
  </w:footnote>
  <w:footnote w:id="11">
    <w:p w:rsidR="00CC1FB4" w:rsidRPr="008A281A" w:rsidRDefault="00CC1FB4" w:rsidP="001A4B0E">
      <w:pPr>
        <w:pStyle w:val="FootnoteText"/>
        <w:jc w:val="both"/>
        <w:rPr>
          <w:lang w:val="sr-Latn-RS"/>
        </w:rPr>
      </w:pPr>
      <w:r>
        <w:rPr>
          <w:rStyle w:val="FootnoteReference"/>
        </w:rPr>
        <w:footnoteRef/>
      </w:r>
      <w:r>
        <w:t xml:space="preserve"> </w:t>
      </w:r>
      <w:r>
        <w:rPr>
          <w:lang w:val="sr-Latn-RS"/>
        </w:rPr>
        <w:t>World Federation for Medical Education - WFME</w:t>
      </w:r>
    </w:p>
  </w:footnote>
  <w:footnote w:id="12">
    <w:p w:rsidR="00CC1FB4" w:rsidRPr="0059374B" w:rsidRDefault="00CC1FB4" w:rsidP="00637F6E">
      <w:pPr>
        <w:pStyle w:val="FootnoteText"/>
        <w:rPr>
          <w:sz w:val="18"/>
          <w:szCs w:val="18"/>
          <w:lang w:val="sr-Cyrl-RS"/>
        </w:rPr>
      </w:pPr>
      <w:r w:rsidRPr="0059374B">
        <w:rPr>
          <w:rStyle w:val="FootnoteReference"/>
          <w:sz w:val="18"/>
          <w:szCs w:val="18"/>
        </w:rPr>
        <w:footnoteRef/>
      </w:r>
      <w:r w:rsidRPr="0059374B">
        <w:rPr>
          <w:sz w:val="18"/>
          <w:szCs w:val="18"/>
        </w:rPr>
        <w:t xml:space="preserve"> </w:t>
      </w:r>
      <w:r>
        <w:rPr>
          <w:sz w:val="18"/>
          <w:szCs w:val="18"/>
          <w:lang w:val="sr-Cyrl-RS"/>
        </w:rPr>
        <w:t xml:space="preserve">Фебруар </w:t>
      </w:r>
      <w:r w:rsidRPr="0059374B">
        <w:rPr>
          <w:sz w:val="18"/>
          <w:szCs w:val="18"/>
          <w:lang w:val="sr-Cyrl-RS"/>
        </w:rPr>
        <w:t>202</w:t>
      </w:r>
      <w:r>
        <w:rPr>
          <w:sz w:val="18"/>
          <w:szCs w:val="18"/>
          <w:lang w:val="sr-Cyrl-RS"/>
        </w:rPr>
        <w:t>5</w:t>
      </w:r>
      <w:r w:rsidRPr="0059374B">
        <w:rPr>
          <w:sz w:val="18"/>
          <w:szCs w:val="18"/>
          <w:lang w:val="sr-Cyrl-RS"/>
        </w:rPr>
        <w:t>. године</w:t>
      </w:r>
    </w:p>
  </w:footnote>
  <w:footnote w:id="13">
    <w:p w:rsidR="00CC1FB4" w:rsidRPr="0059374B" w:rsidRDefault="00CC1FB4" w:rsidP="00637F6E">
      <w:pPr>
        <w:pStyle w:val="NormalWeb"/>
        <w:shd w:val="clear" w:color="auto" w:fill="FFFFFF"/>
        <w:spacing w:before="0" w:beforeAutospacing="0" w:after="0" w:afterAutospacing="0"/>
        <w:jc w:val="both"/>
        <w:rPr>
          <w:rFonts w:asciiTheme="minorHAnsi" w:hAnsiTheme="minorHAnsi" w:cs="Open Sans"/>
          <w:color w:val="000000"/>
          <w:sz w:val="18"/>
          <w:szCs w:val="18"/>
          <w:lang w:val="sr-Cyrl-RS"/>
        </w:rPr>
      </w:pPr>
      <w:r w:rsidRPr="0059374B">
        <w:rPr>
          <w:rStyle w:val="FootnoteReference"/>
          <w:sz w:val="18"/>
          <w:szCs w:val="18"/>
        </w:rPr>
        <w:footnoteRef/>
      </w:r>
      <w:r w:rsidRPr="0059374B">
        <w:rPr>
          <w:sz w:val="18"/>
          <w:szCs w:val="18"/>
        </w:rPr>
        <w:t xml:space="preserve"> </w:t>
      </w:r>
      <w:r w:rsidRPr="0059374B">
        <w:rPr>
          <w:rFonts w:asciiTheme="minorHAnsi" w:hAnsiTheme="minorHAnsi" w:cs="Open Sans"/>
          <w:color w:val="000000"/>
          <w:sz w:val="18"/>
          <w:szCs w:val="18"/>
          <w:lang w:val="sr-Cyrl-RS"/>
        </w:rPr>
        <w:t xml:space="preserve"> </w:t>
      </w:r>
      <w:hyperlink r:id="rId1" w:history="1">
        <w:r w:rsidRPr="0059374B">
          <w:rPr>
            <w:rStyle w:val="Hyperlink"/>
            <w:rFonts w:asciiTheme="minorHAnsi" w:hAnsiTheme="minorHAnsi" w:cstheme="minorHAnsi"/>
            <w:sz w:val="18"/>
            <w:szCs w:val="18"/>
            <w:lang w:val="sr-Cyrl-RS"/>
          </w:rPr>
          <w:t>https://www.avors.org/index.php/sr/r-gis-r</w:t>
        </w:r>
      </w:hyperlink>
      <w:r w:rsidRPr="0059374B">
        <w:rPr>
          <w:rFonts w:asciiTheme="minorHAnsi" w:hAnsiTheme="minorHAnsi" w:cs="Open Sans"/>
          <w:color w:val="000000"/>
          <w:sz w:val="18"/>
          <w:szCs w:val="18"/>
          <w:lang w:val="sr-Cyrl-RS"/>
        </w:rPr>
        <w:t xml:space="preserve"> </w:t>
      </w:r>
    </w:p>
    <w:p w:rsidR="00CC1FB4" w:rsidRPr="008E5546" w:rsidRDefault="00CC1FB4" w:rsidP="00637F6E">
      <w:pPr>
        <w:pStyle w:val="FootnoteText"/>
        <w:rPr>
          <w:lang w:val="sr-Cyrl-RS"/>
        </w:rPr>
      </w:pPr>
    </w:p>
  </w:footnote>
  <w:footnote w:id="14">
    <w:p w:rsidR="00CC1FB4" w:rsidRPr="009C0F2A" w:rsidRDefault="00CC1FB4">
      <w:pPr>
        <w:pStyle w:val="FootnoteText"/>
        <w:rPr>
          <w:lang w:val="sr-Cyrl-RS"/>
        </w:rPr>
      </w:pPr>
      <w:r>
        <w:rPr>
          <w:rStyle w:val="FootnoteReference"/>
        </w:rPr>
        <w:footnoteRef/>
      </w:r>
      <w:r>
        <w:t xml:space="preserve"> </w:t>
      </w:r>
      <w:r w:rsidRPr="006436FA">
        <w:rPr>
          <w:sz w:val="18"/>
          <w:szCs w:val="18"/>
          <w:lang w:val="sr-Cyrl-RS"/>
        </w:rPr>
        <w:t xml:space="preserve"> </w:t>
      </w:r>
      <w:hyperlink r:id="rId2" w:history="1">
        <w:r>
          <w:rPr>
            <w:rStyle w:val="Hyperlink"/>
            <w:rFonts w:ascii="Calibri" w:hAnsi="Calibri" w:cs="Calibri"/>
            <w:sz w:val="18"/>
            <w:szCs w:val="18"/>
            <w:lang w:val="sr-Cyrl-BA"/>
          </w:rPr>
          <w:t>https://www.avors.org/images/lista_recenzenata/odluka_o_nacinu_formiranja_liste_recenzenata.pdf</w:t>
        </w:r>
      </w:hyperlink>
    </w:p>
  </w:footnote>
  <w:footnote w:id="15">
    <w:p w:rsidR="00CC1FB4" w:rsidRPr="009C0F2A" w:rsidRDefault="00CC1FB4">
      <w:pPr>
        <w:pStyle w:val="FootnoteText"/>
        <w:rPr>
          <w:lang w:val="sr-Cyrl-RS"/>
        </w:rPr>
      </w:pPr>
      <w:r>
        <w:rPr>
          <w:rStyle w:val="FootnoteReference"/>
        </w:rPr>
        <w:footnoteRef/>
      </w:r>
      <w:r>
        <w:t xml:space="preserve"> </w:t>
      </w:r>
      <w:r>
        <w:t>https://www.avors.org/index.php/sr/lis-r-c-nz-n</w:t>
      </w:r>
    </w:p>
  </w:footnote>
  <w:footnote w:id="16">
    <w:p w:rsidR="00CC1FB4" w:rsidRPr="00971923" w:rsidRDefault="00CC1FB4" w:rsidP="0001047B">
      <w:pPr>
        <w:spacing w:line="276" w:lineRule="auto"/>
        <w:jc w:val="both"/>
        <w:rPr>
          <w:rFonts w:ascii="Calibri" w:eastAsia="Calibri" w:hAnsi="Calibri" w:cs="Calibri"/>
          <w:sz w:val="20"/>
          <w:szCs w:val="20"/>
          <w:lang w:val="sr-Cyrl-BA"/>
        </w:rPr>
      </w:pPr>
      <w:r>
        <w:rPr>
          <w:rStyle w:val="FootnoteReference"/>
        </w:rPr>
        <w:footnoteRef/>
      </w:r>
      <w:r>
        <w:t xml:space="preserve"> </w:t>
      </w:r>
      <w:r w:rsidRPr="00971923">
        <w:rPr>
          <w:rFonts w:ascii="Calibri" w:eastAsia="Calibri" w:hAnsi="Calibri" w:cs="Calibri"/>
          <w:sz w:val="20"/>
          <w:szCs w:val="20"/>
          <w:lang w:val="sr-Cyrl-BA"/>
        </w:rPr>
        <w:t>Supporting European QA Agencies in meeting the ESG</w:t>
      </w:r>
      <w:r>
        <w:rPr>
          <w:rFonts w:ascii="Calibri" w:eastAsia="Calibri" w:hAnsi="Calibri" w:cs="Calibri"/>
          <w:sz w:val="20"/>
          <w:szCs w:val="20"/>
          <w:lang w:val="sr-Cyrl-BA"/>
        </w:rPr>
        <w:t xml:space="preserve"> - SEQA ESG II</w:t>
      </w:r>
    </w:p>
  </w:footnote>
  <w:footnote w:id="17">
    <w:p w:rsidR="00CC1FB4" w:rsidRPr="00A92955" w:rsidRDefault="00CC1FB4" w:rsidP="00CE2067">
      <w:pPr>
        <w:pStyle w:val="FootnoteText"/>
        <w:jc w:val="both"/>
        <w:rPr>
          <w:lang w:val="sr-Cyrl-BA"/>
        </w:rPr>
      </w:pPr>
      <w:r>
        <w:rPr>
          <w:rStyle w:val="FootnoteReference"/>
        </w:rPr>
        <w:footnoteRef/>
      </w:r>
      <w:r>
        <w:t xml:space="preserve"> </w:t>
      </w:r>
      <w:r w:rsidRPr="00A92955">
        <w:rPr>
          <w:rFonts w:ascii="Calibri" w:hAnsi="Calibri" w:cs="Calibri"/>
          <w:bCs/>
          <w:lang w:val="sr-Cyrl-BA"/>
        </w:rPr>
        <w:t>Central and Eastern European Network of Quality Assurance Agencies </w:t>
      </w:r>
      <w:r w:rsidRPr="00A92955">
        <w:rPr>
          <w:rFonts w:ascii="Calibri" w:hAnsi="Calibri" w:cs="Calibri"/>
          <w:lang w:val="sr-Cyrl-BA"/>
        </w:rPr>
        <w:t>in Higher Education</w:t>
      </w:r>
      <w:r w:rsidRPr="00A92955">
        <w:rPr>
          <w:rFonts w:ascii="Calibri" w:hAnsi="Calibri" w:cs="Calibri"/>
          <w:lang w:val="sr-Latn-RS"/>
        </w:rPr>
        <w:t xml:space="preserve"> – </w:t>
      </w:r>
      <w:r w:rsidRPr="00A92955">
        <w:rPr>
          <w:rFonts w:ascii="Calibri" w:hAnsi="Calibri" w:cs="Calibri"/>
          <w:lang w:val="sr-Cyrl-BA"/>
        </w:rPr>
        <w:t>CEENQA</w:t>
      </w:r>
    </w:p>
  </w:footnote>
  <w:footnote w:id="18">
    <w:p w:rsidR="00CC1FB4" w:rsidRPr="0036345D" w:rsidRDefault="00CC1FB4" w:rsidP="0001047B">
      <w:pPr>
        <w:pStyle w:val="FootnoteText"/>
        <w:jc w:val="both"/>
        <w:rPr>
          <w:lang w:val="sr-Latn-RS"/>
        </w:rPr>
      </w:pPr>
      <w:r>
        <w:rPr>
          <w:rStyle w:val="FootnoteReference"/>
        </w:rPr>
        <w:footnoteRef/>
      </w:r>
      <w:r>
        <w:t xml:space="preserve"> </w:t>
      </w:r>
      <w:r>
        <w:t xml:space="preserve">The International Network for Quality Assurance Agencies in Higher Education - INQAAHE </w:t>
      </w:r>
    </w:p>
  </w:footnote>
  <w:footnote w:id="19">
    <w:p w:rsidR="00CC1FB4" w:rsidRPr="00BF1161" w:rsidRDefault="00CC1FB4" w:rsidP="001A4B0E">
      <w:pPr>
        <w:pStyle w:val="FootnoteText"/>
        <w:jc w:val="both"/>
        <w:rPr>
          <w:lang w:val="sr-Cyrl-RS"/>
        </w:rPr>
      </w:pPr>
      <w:r>
        <w:rPr>
          <w:rStyle w:val="FootnoteReference"/>
        </w:rPr>
        <w:footnoteRef/>
      </w:r>
      <w:r>
        <w:t xml:space="preserve"> </w:t>
      </w:r>
      <w:r w:rsidRPr="00BF1161">
        <w:rPr>
          <w:rFonts w:cstheme="minorHAnsi"/>
        </w:rPr>
        <w:t>Strategic Agreement between Hungarian Accreditation Committee and Agency for Higher education of Republic of Srpska</w:t>
      </w:r>
    </w:p>
  </w:footnote>
  <w:footnote w:id="20">
    <w:p w:rsidR="00CC1FB4" w:rsidRPr="00BF1161" w:rsidRDefault="00CC1FB4" w:rsidP="0001047B">
      <w:pPr>
        <w:pStyle w:val="FootnoteText"/>
        <w:rPr>
          <w:lang w:val="sr-Latn-RS"/>
        </w:rPr>
      </w:pPr>
      <w:r w:rsidRPr="00BF1161">
        <w:rPr>
          <w:rStyle w:val="FootnoteReference"/>
        </w:rPr>
        <w:footnoteRef/>
      </w:r>
      <w:r w:rsidRPr="00BF1161">
        <w:t xml:space="preserve"> </w:t>
      </w:r>
      <w:r w:rsidRPr="00BF1161">
        <w:t>Global Academic Integrity Network - GAIN</w:t>
      </w:r>
    </w:p>
  </w:footnote>
  <w:footnote w:id="21">
    <w:p w:rsidR="00CC1FB4" w:rsidRPr="00BF1161" w:rsidRDefault="00CC1FB4" w:rsidP="0001047B">
      <w:pPr>
        <w:pStyle w:val="FootnoteText"/>
        <w:rPr>
          <w:lang w:val="sr-Cyrl-RS"/>
        </w:rPr>
      </w:pPr>
      <w:r w:rsidRPr="00BF1161">
        <w:rPr>
          <w:rStyle w:val="FootnoteReference"/>
        </w:rPr>
        <w:footnoteRef/>
      </w:r>
      <w:r w:rsidRPr="00BF1161">
        <w:t xml:space="preserve"> </w:t>
      </w:r>
      <w:r w:rsidRPr="00BF1161">
        <w:rPr>
          <w:rFonts w:cstheme="minorHAnsi"/>
        </w:rPr>
        <w:t>Tertiary Education Quality and Standards Agency of Australia - TEQSA</w:t>
      </w:r>
    </w:p>
  </w:footnote>
  <w:footnote w:id="22">
    <w:p w:rsidR="00CC1FB4" w:rsidRPr="00DC7AC6" w:rsidRDefault="00CC1FB4" w:rsidP="0001047B">
      <w:pPr>
        <w:pStyle w:val="FootnoteText"/>
        <w:jc w:val="both"/>
        <w:rPr>
          <w:lang w:val="sr-Cyrl-RS"/>
        </w:rPr>
      </w:pPr>
      <w:r>
        <w:rPr>
          <w:rStyle w:val="FootnoteReference"/>
        </w:rPr>
        <w:footnoteRef/>
      </w:r>
      <w:r>
        <w:t xml:space="preserve"> </w:t>
      </w:r>
      <w:r w:rsidRPr="008464DC">
        <w:rPr>
          <w:rFonts w:cstheme="minorHAnsi"/>
          <w:sz w:val="22"/>
          <w:szCs w:val="22"/>
        </w:rPr>
        <w:t>Strengthening Capacities and Mechanisms for Enhancement of Quality Assurance Systems in Higher Education in Bosnia and Herzegovina (SMEQA-ERASMUS-EDU-2023-CBHE-STRAND-3</w:t>
      </w:r>
    </w:p>
  </w:footnote>
  <w:footnote w:id="23">
    <w:p w:rsidR="00CC1FB4" w:rsidRPr="00733D2A" w:rsidRDefault="00CC1FB4" w:rsidP="00733D2A">
      <w:pPr>
        <w:pStyle w:val="FootnoteText"/>
        <w:rPr>
          <w:sz w:val="22"/>
          <w:szCs w:val="22"/>
          <w:lang w:val="sr-Cyrl-RS"/>
        </w:rPr>
      </w:pPr>
      <w:r>
        <w:rPr>
          <w:rStyle w:val="FootnoteReference"/>
        </w:rPr>
        <w:footnoteRef/>
      </w:r>
      <w:r>
        <w:t xml:space="preserve"> </w:t>
      </w:r>
      <w:r w:rsidRPr="00733D2A">
        <w:rPr>
          <w:rFonts w:cstheme="minorHAnsi"/>
          <w:sz w:val="22"/>
          <w:szCs w:val="22"/>
          <w:lang w:val="sr-Cyrl-BA"/>
        </w:rPr>
        <w:t>„Службени гласник Републике Српске“, број 79/05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FB4" w:rsidRDefault="00CC1FB4" w:rsidP="0070458D">
    <w:pPr>
      <w:pStyle w:val="Header"/>
      <w:tabs>
        <w:tab w:val="clear" w:pos="4513"/>
        <w:tab w:val="clear" w:pos="9026"/>
        <w:tab w:val="left" w:pos="1152"/>
        <w:tab w:val="left" w:pos="2300"/>
      </w:tabs>
    </w:pPr>
    <w:r>
      <w:tab/>
    </w:r>
    <w:r>
      <w:tab/>
    </w:r>
  </w:p>
  <w:p w:rsidR="00CC1FB4" w:rsidRPr="00AA2143" w:rsidRDefault="00CC1FB4" w:rsidP="00AA2143">
    <w:pPr>
      <w:rPr>
        <w:sz w:val="32"/>
        <w:szCs w:val="3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FB4" w:rsidRDefault="00CC1FB4">
    <w:pPr>
      <w:pStyle w:val="Header"/>
    </w:pPr>
    <w:r>
      <w:rPr>
        <w:noProof/>
        <w:lang w:val="en-GB" w:eastAsia="en-GB"/>
      </w:rPr>
      <w:drawing>
        <wp:inline distT="0" distB="0" distL="0" distR="0" wp14:anchorId="144285D5" wp14:editId="5714EC42">
          <wp:extent cx="1156970" cy="8542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181480" cy="872336"/>
                  </a:xfrm>
                  <a:prstGeom prst="rect">
                    <a:avLst/>
                  </a:prstGeom>
                </pic:spPr>
              </pic:pic>
            </a:graphicData>
          </a:graphic>
        </wp:inline>
      </w:drawing>
    </w:r>
  </w:p>
  <w:p w:rsidR="00CC1FB4" w:rsidRDefault="00CC1FB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88.75pt;height:495.75pt" o:bullet="t">
        <v:imagedata r:id="rId1" o:title="romb"/>
      </v:shape>
    </w:pict>
  </w:numPicBullet>
  <w:abstractNum w:abstractNumId="0" w15:restartNumberingAfterBreak="0">
    <w:nsid w:val="00C65F17"/>
    <w:multiLevelType w:val="hybridMultilevel"/>
    <w:tmpl w:val="94946E1A"/>
    <w:lvl w:ilvl="0" w:tplc="8FFA0DF6">
      <w:start w:val="1"/>
      <w:numFmt w:val="bullet"/>
      <w:lvlText w:val=""/>
      <w:lvlPicBulletId w:val="0"/>
      <w:lvlJc w:val="left"/>
      <w:pPr>
        <w:ind w:left="720" w:hanging="360"/>
      </w:pPr>
      <w:rPr>
        <w:rFonts w:ascii="Symbol" w:hAnsi="Symbol" w:hint="default"/>
        <w:i/>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D92534"/>
    <w:multiLevelType w:val="hybridMultilevel"/>
    <w:tmpl w:val="96547996"/>
    <w:lvl w:ilvl="0" w:tplc="A6A0B98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15:restartNumberingAfterBreak="0">
    <w:nsid w:val="13FF5E8E"/>
    <w:multiLevelType w:val="hybridMultilevel"/>
    <w:tmpl w:val="F62EF3F2"/>
    <w:lvl w:ilvl="0" w:tplc="8FFA0DF6">
      <w:start w:val="1"/>
      <w:numFmt w:val="bullet"/>
      <w:lvlText w:val=""/>
      <w:lvlPicBulletId w:val="0"/>
      <w:lvlJc w:val="left"/>
      <w:pPr>
        <w:ind w:left="720" w:hanging="360"/>
      </w:pPr>
      <w:rPr>
        <w:rFonts w:ascii="Symbol" w:hAnsi="Symbol" w:hint="default"/>
        <w:i/>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175C4E"/>
    <w:multiLevelType w:val="hybridMultilevel"/>
    <w:tmpl w:val="9B5C8D84"/>
    <w:lvl w:ilvl="0" w:tplc="956834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BB0AC9"/>
    <w:multiLevelType w:val="multilevel"/>
    <w:tmpl w:val="3EB07A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323E4F" w:themeColor="text2" w:themeShade="BF"/>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BE29CA"/>
    <w:multiLevelType w:val="hybridMultilevel"/>
    <w:tmpl w:val="F04AE224"/>
    <w:lvl w:ilvl="0" w:tplc="8FFA0DF6">
      <w:start w:val="1"/>
      <w:numFmt w:val="bullet"/>
      <w:lvlText w:val=""/>
      <w:lvlPicBulletId w:val="0"/>
      <w:lvlJc w:val="left"/>
      <w:pPr>
        <w:ind w:left="720" w:hanging="360"/>
      </w:pPr>
      <w:rPr>
        <w:rFonts w:ascii="Symbol" w:hAnsi="Symbol" w:hint="default"/>
        <w:color w:val="auto"/>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6" w15:restartNumberingAfterBreak="0">
    <w:nsid w:val="332A1AF7"/>
    <w:multiLevelType w:val="hybridMultilevel"/>
    <w:tmpl w:val="CAD4B5A8"/>
    <w:lvl w:ilvl="0" w:tplc="8F94B60E">
      <w:start w:val="1"/>
      <w:numFmt w:val="decimal"/>
      <w:lvlText w:val="%1."/>
      <w:lvlJc w:val="left"/>
      <w:pPr>
        <w:ind w:left="720" w:hanging="360"/>
      </w:pPr>
      <w:rPr>
        <w:rFonts w:ascii="Calibri" w:eastAsia="Times New Roman"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53479B"/>
    <w:multiLevelType w:val="hybridMultilevel"/>
    <w:tmpl w:val="A508BBC2"/>
    <w:lvl w:ilvl="0" w:tplc="8FFA0DF6">
      <w:start w:val="1"/>
      <w:numFmt w:val="bullet"/>
      <w:lvlText w:val=""/>
      <w:lvlPicBulletId w:val="0"/>
      <w:lvlJc w:val="left"/>
      <w:pPr>
        <w:ind w:left="816" w:hanging="360"/>
      </w:pPr>
      <w:rPr>
        <w:rFonts w:ascii="Symbol" w:hAnsi="Symbol" w:hint="default"/>
        <w:color w:val="auto"/>
      </w:rPr>
    </w:lvl>
    <w:lvl w:ilvl="1" w:tplc="08090003" w:tentative="1">
      <w:start w:val="1"/>
      <w:numFmt w:val="bullet"/>
      <w:lvlText w:val="o"/>
      <w:lvlJc w:val="left"/>
      <w:pPr>
        <w:ind w:left="1536" w:hanging="360"/>
      </w:pPr>
      <w:rPr>
        <w:rFonts w:ascii="Courier New" w:hAnsi="Courier New" w:cs="Courier New" w:hint="default"/>
      </w:rPr>
    </w:lvl>
    <w:lvl w:ilvl="2" w:tplc="08090005" w:tentative="1">
      <w:start w:val="1"/>
      <w:numFmt w:val="bullet"/>
      <w:lvlText w:val=""/>
      <w:lvlJc w:val="left"/>
      <w:pPr>
        <w:ind w:left="2256" w:hanging="360"/>
      </w:pPr>
      <w:rPr>
        <w:rFonts w:ascii="Wingdings" w:hAnsi="Wingdings" w:hint="default"/>
      </w:rPr>
    </w:lvl>
    <w:lvl w:ilvl="3" w:tplc="08090001" w:tentative="1">
      <w:start w:val="1"/>
      <w:numFmt w:val="bullet"/>
      <w:lvlText w:val=""/>
      <w:lvlJc w:val="left"/>
      <w:pPr>
        <w:ind w:left="2976" w:hanging="360"/>
      </w:pPr>
      <w:rPr>
        <w:rFonts w:ascii="Symbol" w:hAnsi="Symbol" w:hint="default"/>
      </w:rPr>
    </w:lvl>
    <w:lvl w:ilvl="4" w:tplc="08090003" w:tentative="1">
      <w:start w:val="1"/>
      <w:numFmt w:val="bullet"/>
      <w:lvlText w:val="o"/>
      <w:lvlJc w:val="left"/>
      <w:pPr>
        <w:ind w:left="3696" w:hanging="360"/>
      </w:pPr>
      <w:rPr>
        <w:rFonts w:ascii="Courier New" w:hAnsi="Courier New" w:cs="Courier New" w:hint="default"/>
      </w:rPr>
    </w:lvl>
    <w:lvl w:ilvl="5" w:tplc="08090005" w:tentative="1">
      <w:start w:val="1"/>
      <w:numFmt w:val="bullet"/>
      <w:lvlText w:val=""/>
      <w:lvlJc w:val="left"/>
      <w:pPr>
        <w:ind w:left="4416" w:hanging="360"/>
      </w:pPr>
      <w:rPr>
        <w:rFonts w:ascii="Wingdings" w:hAnsi="Wingdings" w:hint="default"/>
      </w:rPr>
    </w:lvl>
    <w:lvl w:ilvl="6" w:tplc="08090001" w:tentative="1">
      <w:start w:val="1"/>
      <w:numFmt w:val="bullet"/>
      <w:lvlText w:val=""/>
      <w:lvlJc w:val="left"/>
      <w:pPr>
        <w:ind w:left="5136" w:hanging="360"/>
      </w:pPr>
      <w:rPr>
        <w:rFonts w:ascii="Symbol" w:hAnsi="Symbol" w:hint="default"/>
      </w:rPr>
    </w:lvl>
    <w:lvl w:ilvl="7" w:tplc="08090003" w:tentative="1">
      <w:start w:val="1"/>
      <w:numFmt w:val="bullet"/>
      <w:lvlText w:val="o"/>
      <w:lvlJc w:val="left"/>
      <w:pPr>
        <w:ind w:left="5856" w:hanging="360"/>
      </w:pPr>
      <w:rPr>
        <w:rFonts w:ascii="Courier New" w:hAnsi="Courier New" w:cs="Courier New" w:hint="default"/>
      </w:rPr>
    </w:lvl>
    <w:lvl w:ilvl="8" w:tplc="08090005" w:tentative="1">
      <w:start w:val="1"/>
      <w:numFmt w:val="bullet"/>
      <w:lvlText w:val=""/>
      <w:lvlJc w:val="left"/>
      <w:pPr>
        <w:ind w:left="6576" w:hanging="360"/>
      </w:pPr>
      <w:rPr>
        <w:rFonts w:ascii="Wingdings" w:hAnsi="Wingdings" w:hint="default"/>
      </w:rPr>
    </w:lvl>
  </w:abstractNum>
  <w:abstractNum w:abstractNumId="8" w15:restartNumberingAfterBreak="0">
    <w:nsid w:val="3ED06C23"/>
    <w:multiLevelType w:val="hybridMultilevel"/>
    <w:tmpl w:val="88ACB02C"/>
    <w:lvl w:ilvl="0" w:tplc="8FFA0DF6">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4506DA"/>
    <w:multiLevelType w:val="hybridMultilevel"/>
    <w:tmpl w:val="75FCE556"/>
    <w:lvl w:ilvl="0" w:tplc="8FFA0DF6">
      <w:start w:val="1"/>
      <w:numFmt w:val="bullet"/>
      <w:lvlText w:val=""/>
      <w:lvlPicBulletId w:val="0"/>
      <w:lvlJc w:val="left"/>
      <w:pPr>
        <w:ind w:left="720" w:hanging="360"/>
      </w:pPr>
      <w:rPr>
        <w:rFonts w:ascii="Symbol" w:hAnsi="Symbol"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0F5118"/>
    <w:multiLevelType w:val="hybridMultilevel"/>
    <w:tmpl w:val="240C491C"/>
    <w:lvl w:ilvl="0" w:tplc="8FFA0DF6">
      <w:start w:val="1"/>
      <w:numFmt w:val="bullet"/>
      <w:lvlText w:val=""/>
      <w:lvlPicBulletId w:val="0"/>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6AD0FDA"/>
    <w:multiLevelType w:val="hybridMultilevel"/>
    <w:tmpl w:val="50BE013C"/>
    <w:lvl w:ilvl="0" w:tplc="8FFA0DF6">
      <w:start w:val="1"/>
      <w:numFmt w:val="bullet"/>
      <w:lvlText w:val=""/>
      <w:lvlPicBulletId w:val="0"/>
      <w:lvlJc w:val="left"/>
      <w:pPr>
        <w:ind w:left="720" w:hanging="360"/>
      </w:pPr>
      <w:rPr>
        <w:rFonts w:ascii="Symbol" w:hAnsi="Symbol" w:hint="default"/>
        <w:color w:val="auto"/>
      </w:rPr>
    </w:lvl>
    <w:lvl w:ilvl="1" w:tplc="3184005E">
      <w:start w:val="4"/>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3708A3"/>
    <w:multiLevelType w:val="multilevel"/>
    <w:tmpl w:val="285E14A2"/>
    <w:lvl w:ilvl="0">
      <w:start w:val="3"/>
      <w:numFmt w:val="decimal"/>
      <w:lvlText w:val="%1."/>
      <w:lvlJc w:val="left"/>
      <w:pPr>
        <w:ind w:left="360" w:hanging="360"/>
      </w:pPr>
      <w:rPr>
        <w:rFonts w:hint="default"/>
        <w:color w:val="000000"/>
      </w:rPr>
    </w:lvl>
    <w:lvl w:ilvl="1">
      <w:start w:val="1"/>
      <w:numFmt w:val="decimal"/>
      <w:lvlText w:val="%1.%2."/>
      <w:lvlJc w:val="left"/>
      <w:pPr>
        <w:ind w:left="720" w:hanging="360"/>
      </w:pPr>
      <w:rPr>
        <w:rFonts w:asciiTheme="minorHAnsi" w:hAnsiTheme="minorHAnsi" w:cstheme="minorHAnsi" w:hint="default"/>
        <w:i w:val="0"/>
        <w:color w:val="323E4F" w:themeColor="text2" w:themeShade="BF"/>
      </w:rPr>
    </w:lvl>
    <w:lvl w:ilvl="2">
      <w:start w:val="1"/>
      <w:numFmt w:val="decimal"/>
      <w:lvlText w:val="%1.%2.%3."/>
      <w:lvlJc w:val="left"/>
      <w:pPr>
        <w:ind w:left="1440" w:hanging="720"/>
      </w:pPr>
      <w:rPr>
        <w:rFonts w:ascii="Calibri" w:hAnsi="Calibri" w:cs="Calibri" w:hint="default"/>
        <w:color w:val="1F3864" w:themeColor="accent1" w:themeShade="80"/>
        <w:sz w:val="24"/>
        <w:szCs w:val="24"/>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3" w15:restartNumberingAfterBreak="0">
    <w:nsid w:val="55B3026B"/>
    <w:multiLevelType w:val="hybridMultilevel"/>
    <w:tmpl w:val="EB4A2BA4"/>
    <w:lvl w:ilvl="0" w:tplc="8FFA0DF6">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4A1FEA"/>
    <w:multiLevelType w:val="multilevel"/>
    <w:tmpl w:val="CCD23FCA"/>
    <w:lvl w:ilvl="0">
      <w:start w:val="1"/>
      <w:numFmt w:val="upperRoman"/>
      <w:lvlText w:val="%1"/>
      <w:lvlJc w:val="left"/>
      <w:pPr>
        <w:ind w:left="360" w:hanging="360"/>
      </w:pPr>
      <w:rPr>
        <w:rFonts w:hint="default"/>
        <w:color w:val="3B3838" w:themeColor="background2" w:themeShade="40"/>
      </w:rPr>
    </w:lvl>
    <w:lvl w:ilvl="1">
      <w:start w:val="1"/>
      <w:numFmt w:val="decimal"/>
      <w:lvlText w:val="1.%2."/>
      <w:lvlJc w:val="left"/>
      <w:pPr>
        <w:ind w:left="792" w:hanging="432"/>
      </w:pPr>
      <w:rPr>
        <w:rFonts w:hint="default"/>
        <w:i w:val="0"/>
      </w:rPr>
    </w:lvl>
    <w:lvl w:ilvl="2">
      <w:start w:val="1"/>
      <w:numFmt w:val="upperRoman"/>
      <w:lvlText w:val="1.%2.1."/>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7132D27"/>
    <w:multiLevelType w:val="hybridMultilevel"/>
    <w:tmpl w:val="67CA4724"/>
    <w:lvl w:ilvl="0" w:tplc="8FFA0DF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161DED"/>
    <w:multiLevelType w:val="multilevel"/>
    <w:tmpl w:val="0D5A8FF2"/>
    <w:lvl w:ilvl="0">
      <w:start w:val="1"/>
      <w:numFmt w:val="upperRoman"/>
      <w:pStyle w:val="a"/>
      <w:lvlText w:val="%1"/>
      <w:lvlJc w:val="left"/>
      <w:pPr>
        <w:ind w:left="720" w:hanging="360"/>
      </w:pPr>
      <w:rPr>
        <w:rFonts w:hint="default"/>
        <w:b/>
        <w:color w:val="323E4F" w:themeColor="text2" w:themeShade="BF"/>
        <w:sz w:val="28"/>
        <w:szCs w:val="28"/>
      </w:rPr>
    </w:lvl>
    <w:lvl w:ilvl="1">
      <w:start w:val="1"/>
      <w:numFmt w:val="decimal"/>
      <w:pStyle w:val="a0"/>
      <w:isLgl/>
      <w:lvlText w:val="%1.%2."/>
      <w:lvlJc w:val="left"/>
      <w:pPr>
        <w:ind w:left="360" w:hanging="360"/>
      </w:pPr>
      <w:rPr>
        <w:rFonts w:ascii="Cambria" w:hAnsi="Cambria" w:cs="Calibri" w:hint="default"/>
        <w:b/>
        <w:i w:val="0"/>
        <w:strike w:val="0"/>
        <w:color w:val="323E4F" w:themeColor="text2" w:themeShade="BF"/>
      </w:rPr>
    </w:lvl>
    <w:lvl w:ilvl="2">
      <w:start w:val="1"/>
      <w:numFmt w:val="decimal"/>
      <w:pStyle w:val="a1"/>
      <w:isLgl/>
      <w:lvlText w:val="%1.%2.%3."/>
      <w:lvlJc w:val="left"/>
      <w:pPr>
        <w:ind w:left="1080" w:hanging="720"/>
      </w:pPr>
      <w:rPr>
        <w:rFonts w:ascii="Cambria" w:hAnsi="Cambria" w:cstheme="minorHAnsi" w:hint="default"/>
        <w:b/>
        <w:color w:val="323E4F" w:themeColor="text2" w:themeShade="BF"/>
        <w:sz w:val="24"/>
        <w:szCs w:val="24"/>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5DC81B3F"/>
    <w:multiLevelType w:val="hybridMultilevel"/>
    <w:tmpl w:val="E1ECCCDA"/>
    <w:lvl w:ilvl="0" w:tplc="3184005E">
      <w:start w:val="4"/>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1D32E36"/>
    <w:multiLevelType w:val="multilevel"/>
    <w:tmpl w:val="CF1AC740"/>
    <w:lvl w:ilvl="0">
      <w:start w:val="1"/>
      <w:numFmt w:val="upperRoman"/>
      <w:lvlText w:val="I, II, III, %1"/>
      <w:lvlJc w:val="left"/>
      <w:pPr>
        <w:ind w:left="360" w:hanging="360"/>
      </w:pPr>
      <w:rPr>
        <w:rFonts w:hint="default"/>
        <w:color w:val="323E4F" w:themeColor="text2" w:themeShade="BF"/>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5A4758"/>
    <w:multiLevelType w:val="hybridMultilevel"/>
    <w:tmpl w:val="94AC0280"/>
    <w:lvl w:ilvl="0" w:tplc="8FFA0DF6">
      <w:start w:val="1"/>
      <w:numFmt w:val="bullet"/>
      <w:lvlText w:val=""/>
      <w:lvlPicBulletId w:val="0"/>
      <w:lvlJc w:val="left"/>
      <w:pPr>
        <w:ind w:left="1440" w:hanging="360"/>
      </w:pPr>
      <w:rPr>
        <w:rFonts w:ascii="Symbol" w:hAnsi="Symbol" w:hint="default"/>
        <w:color w:val="auto"/>
      </w:rPr>
    </w:lvl>
    <w:lvl w:ilvl="1" w:tplc="3184005E">
      <w:start w:val="4"/>
      <w:numFmt w:val="bullet"/>
      <w:lvlText w:val="-"/>
      <w:lvlJc w:val="left"/>
      <w:pPr>
        <w:ind w:left="2160" w:hanging="360"/>
      </w:pPr>
      <w:rPr>
        <w:rFonts w:ascii="Calibri" w:eastAsiaTheme="minorHAnsi" w:hAnsi="Calibri" w:cs="Calibri"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8967F32"/>
    <w:multiLevelType w:val="hybridMultilevel"/>
    <w:tmpl w:val="F892B3AA"/>
    <w:lvl w:ilvl="0" w:tplc="3184005E">
      <w:start w:val="4"/>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8990579"/>
    <w:multiLevelType w:val="hybridMultilevel"/>
    <w:tmpl w:val="250CBA5C"/>
    <w:lvl w:ilvl="0" w:tplc="8FFA0DF6">
      <w:start w:val="1"/>
      <w:numFmt w:val="bullet"/>
      <w:lvlText w:val=""/>
      <w:lvlPicBulletId w:val="0"/>
      <w:lvlJc w:val="left"/>
      <w:pPr>
        <w:ind w:left="720" w:hanging="360"/>
      </w:pPr>
      <w:rPr>
        <w:rFonts w:ascii="Symbol" w:hAnsi="Symbol" w:hint="default"/>
        <w:i/>
        <w:color w:val="auto"/>
      </w:rPr>
    </w:lvl>
    <w:lvl w:ilvl="1" w:tplc="3184005E">
      <w:start w:val="4"/>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214C15"/>
    <w:multiLevelType w:val="hybridMultilevel"/>
    <w:tmpl w:val="0CBCF760"/>
    <w:lvl w:ilvl="0" w:tplc="8FFA0DF6">
      <w:start w:val="1"/>
      <w:numFmt w:val="bullet"/>
      <w:lvlText w:val=""/>
      <w:lvlPicBulletId w:val="0"/>
      <w:lvlJc w:val="left"/>
      <w:pPr>
        <w:ind w:left="720" w:hanging="360"/>
      </w:pPr>
      <w:rPr>
        <w:rFonts w:ascii="Symbol" w:hAnsi="Symbol" w:hint="default"/>
        <w:i/>
        <w:color w:val="auto"/>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3" w15:restartNumberingAfterBreak="0">
    <w:nsid w:val="76E46497"/>
    <w:multiLevelType w:val="hybridMultilevel"/>
    <w:tmpl w:val="EDA8F040"/>
    <w:lvl w:ilvl="0" w:tplc="8FFA0DF6">
      <w:start w:val="1"/>
      <w:numFmt w:val="bullet"/>
      <w:lvlText w:val=""/>
      <w:lvlPicBulletId w:val="0"/>
      <w:lvlJc w:val="left"/>
      <w:pPr>
        <w:ind w:left="1495" w:hanging="360"/>
      </w:pPr>
      <w:rPr>
        <w:rFonts w:ascii="Symbol" w:hAnsi="Symbol" w:hint="default"/>
        <w:i/>
        <w:color w:val="auto"/>
      </w:rPr>
    </w:lvl>
    <w:lvl w:ilvl="1" w:tplc="181A0019" w:tentative="1">
      <w:start w:val="1"/>
      <w:numFmt w:val="lowerLetter"/>
      <w:lvlText w:val="%2."/>
      <w:lvlJc w:val="left"/>
      <w:pPr>
        <w:ind w:left="1485" w:hanging="360"/>
      </w:pPr>
    </w:lvl>
    <w:lvl w:ilvl="2" w:tplc="181A001B" w:tentative="1">
      <w:start w:val="1"/>
      <w:numFmt w:val="lowerRoman"/>
      <w:lvlText w:val="%3."/>
      <w:lvlJc w:val="right"/>
      <w:pPr>
        <w:ind w:left="2205" w:hanging="180"/>
      </w:pPr>
    </w:lvl>
    <w:lvl w:ilvl="3" w:tplc="181A000F" w:tentative="1">
      <w:start w:val="1"/>
      <w:numFmt w:val="decimal"/>
      <w:lvlText w:val="%4."/>
      <w:lvlJc w:val="left"/>
      <w:pPr>
        <w:ind w:left="2925" w:hanging="360"/>
      </w:pPr>
    </w:lvl>
    <w:lvl w:ilvl="4" w:tplc="181A0019" w:tentative="1">
      <w:start w:val="1"/>
      <w:numFmt w:val="lowerLetter"/>
      <w:lvlText w:val="%5."/>
      <w:lvlJc w:val="left"/>
      <w:pPr>
        <w:ind w:left="3645" w:hanging="360"/>
      </w:pPr>
    </w:lvl>
    <w:lvl w:ilvl="5" w:tplc="181A001B" w:tentative="1">
      <w:start w:val="1"/>
      <w:numFmt w:val="lowerRoman"/>
      <w:lvlText w:val="%6."/>
      <w:lvlJc w:val="right"/>
      <w:pPr>
        <w:ind w:left="4365" w:hanging="180"/>
      </w:pPr>
    </w:lvl>
    <w:lvl w:ilvl="6" w:tplc="181A000F" w:tentative="1">
      <w:start w:val="1"/>
      <w:numFmt w:val="decimal"/>
      <w:lvlText w:val="%7."/>
      <w:lvlJc w:val="left"/>
      <w:pPr>
        <w:ind w:left="5085" w:hanging="360"/>
      </w:pPr>
    </w:lvl>
    <w:lvl w:ilvl="7" w:tplc="181A0019" w:tentative="1">
      <w:start w:val="1"/>
      <w:numFmt w:val="lowerLetter"/>
      <w:lvlText w:val="%8."/>
      <w:lvlJc w:val="left"/>
      <w:pPr>
        <w:ind w:left="5805" w:hanging="360"/>
      </w:pPr>
    </w:lvl>
    <w:lvl w:ilvl="8" w:tplc="181A001B" w:tentative="1">
      <w:start w:val="1"/>
      <w:numFmt w:val="lowerRoman"/>
      <w:lvlText w:val="%9."/>
      <w:lvlJc w:val="right"/>
      <w:pPr>
        <w:ind w:left="6525" w:hanging="180"/>
      </w:pPr>
    </w:lvl>
  </w:abstractNum>
  <w:abstractNum w:abstractNumId="24" w15:restartNumberingAfterBreak="0">
    <w:nsid w:val="77152E8C"/>
    <w:multiLevelType w:val="hybridMultilevel"/>
    <w:tmpl w:val="C9EE67FC"/>
    <w:lvl w:ilvl="0" w:tplc="8FFA0DF6">
      <w:start w:val="1"/>
      <w:numFmt w:val="bullet"/>
      <w:lvlText w:val=""/>
      <w:lvlPicBulletId w:val="0"/>
      <w:lvlJc w:val="left"/>
      <w:pPr>
        <w:ind w:left="774" w:hanging="360"/>
      </w:pPr>
      <w:rPr>
        <w:rFonts w:ascii="Symbol" w:hAnsi="Symbol" w:hint="default"/>
        <w:color w:val="auto"/>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25" w15:restartNumberingAfterBreak="0">
    <w:nsid w:val="7BD74AD9"/>
    <w:multiLevelType w:val="hybridMultilevel"/>
    <w:tmpl w:val="777A0D7C"/>
    <w:lvl w:ilvl="0" w:tplc="8FFA0DF6">
      <w:start w:val="1"/>
      <w:numFmt w:val="bullet"/>
      <w:lvlText w:val=""/>
      <w:lvlPicBulletId w:val="0"/>
      <w:lvlJc w:val="left"/>
      <w:pPr>
        <w:ind w:left="720" w:hanging="360"/>
      </w:pPr>
      <w:rPr>
        <w:rFonts w:ascii="Symbol" w:hAnsi="Symbol" w:hint="default"/>
        <w:i/>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FD277C9"/>
    <w:multiLevelType w:val="hybridMultilevel"/>
    <w:tmpl w:val="48207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num>
  <w:num w:numId="4">
    <w:abstractNumId w:val="10"/>
  </w:num>
  <w:num w:numId="5">
    <w:abstractNumId w:val="15"/>
  </w:num>
  <w:num w:numId="6">
    <w:abstractNumId w:val="3"/>
  </w:num>
  <w:num w:numId="7">
    <w:abstractNumId w:val="14"/>
  </w:num>
  <w:num w:numId="8">
    <w:abstractNumId w:val="12"/>
  </w:num>
  <w:num w:numId="9">
    <w:abstractNumId w:val="16"/>
  </w:num>
  <w:num w:numId="10">
    <w:abstractNumId w:val="21"/>
  </w:num>
  <w:num w:numId="11">
    <w:abstractNumId w:val="19"/>
  </w:num>
  <w:num w:numId="12">
    <w:abstractNumId w:val="24"/>
  </w:num>
  <w:num w:numId="13">
    <w:abstractNumId w:val="8"/>
  </w:num>
  <w:num w:numId="14">
    <w:abstractNumId w:val="0"/>
  </w:num>
  <w:num w:numId="15">
    <w:abstractNumId w:val="13"/>
  </w:num>
  <w:num w:numId="16">
    <w:abstractNumId w:val="20"/>
  </w:num>
  <w:num w:numId="17">
    <w:abstractNumId w:val="25"/>
  </w:num>
  <w:num w:numId="18">
    <w:abstractNumId w:val="17"/>
  </w:num>
  <w:num w:numId="19">
    <w:abstractNumId w:val="7"/>
  </w:num>
  <w:num w:numId="20">
    <w:abstractNumId w:val="4"/>
  </w:num>
  <w:num w:numId="21">
    <w:abstractNumId w:val="23"/>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5"/>
  </w:num>
  <w:num w:numId="25">
    <w:abstractNumId w:val="26"/>
  </w:num>
  <w:num w:numId="26">
    <w:abstractNumId w:val="2"/>
  </w:num>
  <w:num w:numId="27">
    <w:abstractNumId w:val="18"/>
  </w:num>
  <w:num w:numId="28">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D2E"/>
    <w:rsid w:val="00000880"/>
    <w:rsid w:val="00000C01"/>
    <w:rsid w:val="00000E35"/>
    <w:rsid w:val="00001627"/>
    <w:rsid w:val="000026D4"/>
    <w:rsid w:val="00002B54"/>
    <w:rsid w:val="000036D9"/>
    <w:rsid w:val="00007D31"/>
    <w:rsid w:val="0001047B"/>
    <w:rsid w:val="00010735"/>
    <w:rsid w:val="00011509"/>
    <w:rsid w:val="00012B6A"/>
    <w:rsid w:val="000203E9"/>
    <w:rsid w:val="000206E1"/>
    <w:rsid w:val="000207A8"/>
    <w:rsid w:val="000212CF"/>
    <w:rsid w:val="00025A8D"/>
    <w:rsid w:val="00025BB7"/>
    <w:rsid w:val="000262B9"/>
    <w:rsid w:val="00027CCF"/>
    <w:rsid w:val="00030A40"/>
    <w:rsid w:val="00031198"/>
    <w:rsid w:val="00031A80"/>
    <w:rsid w:val="000322C1"/>
    <w:rsid w:val="00033C1F"/>
    <w:rsid w:val="00035FF0"/>
    <w:rsid w:val="000404F8"/>
    <w:rsid w:val="00040AF5"/>
    <w:rsid w:val="00042636"/>
    <w:rsid w:val="00042822"/>
    <w:rsid w:val="00042ACB"/>
    <w:rsid w:val="00045637"/>
    <w:rsid w:val="0004596E"/>
    <w:rsid w:val="00047489"/>
    <w:rsid w:val="00050043"/>
    <w:rsid w:val="00050333"/>
    <w:rsid w:val="00050E09"/>
    <w:rsid w:val="000519D4"/>
    <w:rsid w:val="00051C79"/>
    <w:rsid w:val="000522C4"/>
    <w:rsid w:val="00052596"/>
    <w:rsid w:val="000536DE"/>
    <w:rsid w:val="00053838"/>
    <w:rsid w:val="00054B1B"/>
    <w:rsid w:val="0005538D"/>
    <w:rsid w:val="00055507"/>
    <w:rsid w:val="00057133"/>
    <w:rsid w:val="00057B06"/>
    <w:rsid w:val="00060293"/>
    <w:rsid w:val="000622F3"/>
    <w:rsid w:val="0006503E"/>
    <w:rsid w:val="00065737"/>
    <w:rsid w:val="000676C8"/>
    <w:rsid w:val="000679EE"/>
    <w:rsid w:val="0007080A"/>
    <w:rsid w:val="0007150F"/>
    <w:rsid w:val="000725E5"/>
    <w:rsid w:val="000728ED"/>
    <w:rsid w:val="00075DF3"/>
    <w:rsid w:val="00076300"/>
    <w:rsid w:val="00076499"/>
    <w:rsid w:val="000809C2"/>
    <w:rsid w:val="00081731"/>
    <w:rsid w:val="000819F2"/>
    <w:rsid w:val="00081E42"/>
    <w:rsid w:val="00082CB9"/>
    <w:rsid w:val="00084597"/>
    <w:rsid w:val="0008537D"/>
    <w:rsid w:val="0008556F"/>
    <w:rsid w:val="00085917"/>
    <w:rsid w:val="00086979"/>
    <w:rsid w:val="00093CA6"/>
    <w:rsid w:val="00094E86"/>
    <w:rsid w:val="00095438"/>
    <w:rsid w:val="00095580"/>
    <w:rsid w:val="00095F6D"/>
    <w:rsid w:val="000962AE"/>
    <w:rsid w:val="0009680E"/>
    <w:rsid w:val="00097939"/>
    <w:rsid w:val="000A131B"/>
    <w:rsid w:val="000A1E72"/>
    <w:rsid w:val="000A2F7D"/>
    <w:rsid w:val="000A3835"/>
    <w:rsid w:val="000A44F2"/>
    <w:rsid w:val="000A4B69"/>
    <w:rsid w:val="000A56CE"/>
    <w:rsid w:val="000A5848"/>
    <w:rsid w:val="000A58D3"/>
    <w:rsid w:val="000A6CF2"/>
    <w:rsid w:val="000A7A64"/>
    <w:rsid w:val="000B1669"/>
    <w:rsid w:val="000B198C"/>
    <w:rsid w:val="000B1BFC"/>
    <w:rsid w:val="000B1FDE"/>
    <w:rsid w:val="000B20D0"/>
    <w:rsid w:val="000B2BD5"/>
    <w:rsid w:val="000B3388"/>
    <w:rsid w:val="000B4818"/>
    <w:rsid w:val="000B6A67"/>
    <w:rsid w:val="000B7829"/>
    <w:rsid w:val="000C0466"/>
    <w:rsid w:val="000C108B"/>
    <w:rsid w:val="000C18C4"/>
    <w:rsid w:val="000C21B4"/>
    <w:rsid w:val="000C2E9F"/>
    <w:rsid w:val="000C3C72"/>
    <w:rsid w:val="000C5639"/>
    <w:rsid w:val="000C5F5D"/>
    <w:rsid w:val="000C6612"/>
    <w:rsid w:val="000D312F"/>
    <w:rsid w:val="000D4F64"/>
    <w:rsid w:val="000D5B62"/>
    <w:rsid w:val="000D6CEA"/>
    <w:rsid w:val="000D7557"/>
    <w:rsid w:val="000D79C2"/>
    <w:rsid w:val="000D7C8D"/>
    <w:rsid w:val="000E2D21"/>
    <w:rsid w:val="000E36FE"/>
    <w:rsid w:val="000E3781"/>
    <w:rsid w:val="000E4D29"/>
    <w:rsid w:val="000E6590"/>
    <w:rsid w:val="000F02B6"/>
    <w:rsid w:val="000F1BB8"/>
    <w:rsid w:val="000F268E"/>
    <w:rsid w:val="000F36CE"/>
    <w:rsid w:val="000F3BED"/>
    <w:rsid w:val="000F6F9D"/>
    <w:rsid w:val="000F7361"/>
    <w:rsid w:val="0010118E"/>
    <w:rsid w:val="0010202C"/>
    <w:rsid w:val="00102449"/>
    <w:rsid w:val="0010279F"/>
    <w:rsid w:val="0010382D"/>
    <w:rsid w:val="00104F0A"/>
    <w:rsid w:val="00106514"/>
    <w:rsid w:val="00110AAF"/>
    <w:rsid w:val="00110EDE"/>
    <w:rsid w:val="0011123F"/>
    <w:rsid w:val="0011272D"/>
    <w:rsid w:val="00112CF5"/>
    <w:rsid w:val="001138C8"/>
    <w:rsid w:val="00113BC8"/>
    <w:rsid w:val="00113EA0"/>
    <w:rsid w:val="0011440D"/>
    <w:rsid w:val="001163F0"/>
    <w:rsid w:val="00117D31"/>
    <w:rsid w:val="00121A6C"/>
    <w:rsid w:val="00122D4F"/>
    <w:rsid w:val="001239EB"/>
    <w:rsid w:val="0012670C"/>
    <w:rsid w:val="00126EDC"/>
    <w:rsid w:val="00127838"/>
    <w:rsid w:val="00127F76"/>
    <w:rsid w:val="0013101A"/>
    <w:rsid w:val="0013114E"/>
    <w:rsid w:val="00131597"/>
    <w:rsid w:val="00131800"/>
    <w:rsid w:val="00131ACA"/>
    <w:rsid w:val="00132AE6"/>
    <w:rsid w:val="00133D47"/>
    <w:rsid w:val="00134DD9"/>
    <w:rsid w:val="00141580"/>
    <w:rsid w:val="00141E9B"/>
    <w:rsid w:val="00146949"/>
    <w:rsid w:val="00146FDE"/>
    <w:rsid w:val="00147633"/>
    <w:rsid w:val="00150AEC"/>
    <w:rsid w:val="001528B0"/>
    <w:rsid w:val="001538F8"/>
    <w:rsid w:val="001542D9"/>
    <w:rsid w:val="0015471C"/>
    <w:rsid w:val="001552BB"/>
    <w:rsid w:val="0015588F"/>
    <w:rsid w:val="0016090D"/>
    <w:rsid w:val="00164E85"/>
    <w:rsid w:val="0016605E"/>
    <w:rsid w:val="00166F77"/>
    <w:rsid w:val="00167612"/>
    <w:rsid w:val="001705C6"/>
    <w:rsid w:val="001708C6"/>
    <w:rsid w:val="0017232A"/>
    <w:rsid w:val="00173599"/>
    <w:rsid w:val="00173AF0"/>
    <w:rsid w:val="00175201"/>
    <w:rsid w:val="00176069"/>
    <w:rsid w:val="00177A86"/>
    <w:rsid w:val="00181D14"/>
    <w:rsid w:val="00184F57"/>
    <w:rsid w:val="00185C94"/>
    <w:rsid w:val="00187E74"/>
    <w:rsid w:val="00187EF6"/>
    <w:rsid w:val="001902F8"/>
    <w:rsid w:val="00190AFF"/>
    <w:rsid w:val="00192FFC"/>
    <w:rsid w:val="00194984"/>
    <w:rsid w:val="00195CE9"/>
    <w:rsid w:val="00197456"/>
    <w:rsid w:val="001A072F"/>
    <w:rsid w:val="001A0780"/>
    <w:rsid w:val="001A0ABF"/>
    <w:rsid w:val="001A0C3C"/>
    <w:rsid w:val="001A0D80"/>
    <w:rsid w:val="001A155A"/>
    <w:rsid w:val="001A1EFF"/>
    <w:rsid w:val="001A2BC7"/>
    <w:rsid w:val="001A4B0E"/>
    <w:rsid w:val="001A4B8B"/>
    <w:rsid w:val="001A635E"/>
    <w:rsid w:val="001A6C0C"/>
    <w:rsid w:val="001B0844"/>
    <w:rsid w:val="001B1D54"/>
    <w:rsid w:val="001B380E"/>
    <w:rsid w:val="001B431C"/>
    <w:rsid w:val="001B5881"/>
    <w:rsid w:val="001B5E00"/>
    <w:rsid w:val="001B7F13"/>
    <w:rsid w:val="001C06D1"/>
    <w:rsid w:val="001C08D3"/>
    <w:rsid w:val="001C1AB6"/>
    <w:rsid w:val="001C1F1B"/>
    <w:rsid w:val="001C33FB"/>
    <w:rsid w:val="001C3EF3"/>
    <w:rsid w:val="001C45B5"/>
    <w:rsid w:val="001C5873"/>
    <w:rsid w:val="001C75D3"/>
    <w:rsid w:val="001C7CC7"/>
    <w:rsid w:val="001D13B9"/>
    <w:rsid w:val="001D1A74"/>
    <w:rsid w:val="001D4727"/>
    <w:rsid w:val="001D56A0"/>
    <w:rsid w:val="001D56D7"/>
    <w:rsid w:val="001D5DF4"/>
    <w:rsid w:val="001D5F25"/>
    <w:rsid w:val="001D6415"/>
    <w:rsid w:val="001E02D6"/>
    <w:rsid w:val="001E07DC"/>
    <w:rsid w:val="001E1E15"/>
    <w:rsid w:val="001E29A8"/>
    <w:rsid w:val="001E324D"/>
    <w:rsid w:val="001E378E"/>
    <w:rsid w:val="001E3AE1"/>
    <w:rsid w:val="001E3DCD"/>
    <w:rsid w:val="001E408A"/>
    <w:rsid w:val="001E4B79"/>
    <w:rsid w:val="001E5236"/>
    <w:rsid w:val="001E5253"/>
    <w:rsid w:val="001E55F6"/>
    <w:rsid w:val="001E5811"/>
    <w:rsid w:val="001E78A8"/>
    <w:rsid w:val="001E7DFF"/>
    <w:rsid w:val="001F09FA"/>
    <w:rsid w:val="001F275B"/>
    <w:rsid w:val="001F2A6E"/>
    <w:rsid w:val="001F49FC"/>
    <w:rsid w:val="001F5CD6"/>
    <w:rsid w:val="001F5F0B"/>
    <w:rsid w:val="001F7CC7"/>
    <w:rsid w:val="001F7E9E"/>
    <w:rsid w:val="00201E69"/>
    <w:rsid w:val="0020219E"/>
    <w:rsid w:val="00202CEE"/>
    <w:rsid w:val="00205803"/>
    <w:rsid w:val="00205D9E"/>
    <w:rsid w:val="002100F7"/>
    <w:rsid w:val="002103F5"/>
    <w:rsid w:val="00211759"/>
    <w:rsid w:val="00211D63"/>
    <w:rsid w:val="00212F4C"/>
    <w:rsid w:val="0021327B"/>
    <w:rsid w:val="00213D29"/>
    <w:rsid w:val="002158E0"/>
    <w:rsid w:val="0021636A"/>
    <w:rsid w:val="00216D82"/>
    <w:rsid w:val="002208B2"/>
    <w:rsid w:val="00220E6B"/>
    <w:rsid w:val="00221D45"/>
    <w:rsid w:val="00222088"/>
    <w:rsid w:val="00222244"/>
    <w:rsid w:val="002233DE"/>
    <w:rsid w:val="002236E6"/>
    <w:rsid w:val="00223F4A"/>
    <w:rsid w:val="00224531"/>
    <w:rsid w:val="002247BB"/>
    <w:rsid w:val="00224B63"/>
    <w:rsid w:val="00232F51"/>
    <w:rsid w:val="00233628"/>
    <w:rsid w:val="0023369A"/>
    <w:rsid w:val="002362FA"/>
    <w:rsid w:val="002368AF"/>
    <w:rsid w:val="00237DAB"/>
    <w:rsid w:val="00240D87"/>
    <w:rsid w:val="0024240A"/>
    <w:rsid w:val="002435A4"/>
    <w:rsid w:val="002463C0"/>
    <w:rsid w:val="00246DAF"/>
    <w:rsid w:val="002479D1"/>
    <w:rsid w:val="00247D01"/>
    <w:rsid w:val="002500CF"/>
    <w:rsid w:val="00251146"/>
    <w:rsid w:val="002538AC"/>
    <w:rsid w:val="00254356"/>
    <w:rsid w:val="002546EE"/>
    <w:rsid w:val="00255550"/>
    <w:rsid w:val="002556F2"/>
    <w:rsid w:val="0025627E"/>
    <w:rsid w:val="00260164"/>
    <w:rsid w:val="002631BE"/>
    <w:rsid w:val="00264200"/>
    <w:rsid w:val="00264DB5"/>
    <w:rsid w:val="00265126"/>
    <w:rsid w:val="0026530A"/>
    <w:rsid w:val="0026647F"/>
    <w:rsid w:val="00267B81"/>
    <w:rsid w:val="002714F0"/>
    <w:rsid w:val="002724CA"/>
    <w:rsid w:val="002726C6"/>
    <w:rsid w:val="00273357"/>
    <w:rsid w:val="00273DD4"/>
    <w:rsid w:val="002761EA"/>
    <w:rsid w:val="00276321"/>
    <w:rsid w:val="00280CE9"/>
    <w:rsid w:val="00284799"/>
    <w:rsid w:val="002849D0"/>
    <w:rsid w:val="00285AA1"/>
    <w:rsid w:val="00285D59"/>
    <w:rsid w:val="00285F66"/>
    <w:rsid w:val="00292ABB"/>
    <w:rsid w:val="00292CE3"/>
    <w:rsid w:val="00292F85"/>
    <w:rsid w:val="00293595"/>
    <w:rsid w:val="00293B19"/>
    <w:rsid w:val="00294367"/>
    <w:rsid w:val="0029532C"/>
    <w:rsid w:val="002953DD"/>
    <w:rsid w:val="00296039"/>
    <w:rsid w:val="002964F3"/>
    <w:rsid w:val="00296DCA"/>
    <w:rsid w:val="00296EB2"/>
    <w:rsid w:val="00297C9E"/>
    <w:rsid w:val="00297FEF"/>
    <w:rsid w:val="002A099D"/>
    <w:rsid w:val="002A108A"/>
    <w:rsid w:val="002A1F08"/>
    <w:rsid w:val="002A412E"/>
    <w:rsid w:val="002A4877"/>
    <w:rsid w:val="002A5209"/>
    <w:rsid w:val="002A756A"/>
    <w:rsid w:val="002A7E6E"/>
    <w:rsid w:val="002B00A6"/>
    <w:rsid w:val="002B0330"/>
    <w:rsid w:val="002B1F67"/>
    <w:rsid w:val="002B3027"/>
    <w:rsid w:val="002B6C8F"/>
    <w:rsid w:val="002C1E07"/>
    <w:rsid w:val="002C2A87"/>
    <w:rsid w:val="002C35B7"/>
    <w:rsid w:val="002C35C0"/>
    <w:rsid w:val="002C7570"/>
    <w:rsid w:val="002C7740"/>
    <w:rsid w:val="002D06A7"/>
    <w:rsid w:val="002D081A"/>
    <w:rsid w:val="002D0CC0"/>
    <w:rsid w:val="002D0D3C"/>
    <w:rsid w:val="002D1004"/>
    <w:rsid w:val="002D1137"/>
    <w:rsid w:val="002D3BF6"/>
    <w:rsid w:val="002D4A88"/>
    <w:rsid w:val="002D6287"/>
    <w:rsid w:val="002D62CA"/>
    <w:rsid w:val="002D6806"/>
    <w:rsid w:val="002E059F"/>
    <w:rsid w:val="002E0662"/>
    <w:rsid w:val="002E07C2"/>
    <w:rsid w:val="002E1859"/>
    <w:rsid w:val="002E2437"/>
    <w:rsid w:val="002E60FB"/>
    <w:rsid w:val="002E6F68"/>
    <w:rsid w:val="002E7328"/>
    <w:rsid w:val="002E76F7"/>
    <w:rsid w:val="002F126F"/>
    <w:rsid w:val="002F282D"/>
    <w:rsid w:val="002F2B3B"/>
    <w:rsid w:val="002F41BD"/>
    <w:rsid w:val="002F53DD"/>
    <w:rsid w:val="002F5D74"/>
    <w:rsid w:val="002F6283"/>
    <w:rsid w:val="002F712F"/>
    <w:rsid w:val="00300108"/>
    <w:rsid w:val="003007DA"/>
    <w:rsid w:val="00301530"/>
    <w:rsid w:val="0030240E"/>
    <w:rsid w:val="00303499"/>
    <w:rsid w:val="00303F34"/>
    <w:rsid w:val="00303F7D"/>
    <w:rsid w:val="003054AA"/>
    <w:rsid w:val="0030659C"/>
    <w:rsid w:val="003074B1"/>
    <w:rsid w:val="00311473"/>
    <w:rsid w:val="003128B1"/>
    <w:rsid w:val="0031337A"/>
    <w:rsid w:val="003144E2"/>
    <w:rsid w:val="003152DB"/>
    <w:rsid w:val="00315B3B"/>
    <w:rsid w:val="00316584"/>
    <w:rsid w:val="00316676"/>
    <w:rsid w:val="00316F3A"/>
    <w:rsid w:val="003221B0"/>
    <w:rsid w:val="00323A2B"/>
    <w:rsid w:val="003247D5"/>
    <w:rsid w:val="0032551D"/>
    <w:rsid w:val="003264CE"/>
    <w:rsid w:val="00330604"/>
    <w:rsid w:val="00330F24"/>
    <w:rsid w:val="00330F3A"/>
    <w:rsid w:val="003324ED"/>
    <w:rsid w:val="00332C6C"/>
    <w:rsid w:val="00334619"/>
    <w:rsid w:val="003349CE"/>
    <w:rsid w:val="0033615C"/>
    <w:rsid w:val="0033649B"/>
    <w:rsid w:val="00340362"/>
    <w:rsid w:val="003426EF"/>
    <w:rsid w:val="00346F00"/>
    <w:rsid w:val="00350CAB"/>
    <w:rsid w:val="0035119D"/>
    <w:rsid w:val="00352DCD"/>
    <w:rsid w:val="00352E18"/>
    <w:rsid w:val="0035409F"/>
    <w:rsid w:val="003558B8"/>
    <w:rsid w:val="003614BE"/>
    <w:rsid w:val="00362D02"/>
    <w:rsid w:val="00363C10"/>
    <w:rsid w:val="00364C1D"/>
    <w:rsid w:val="0036524F"/>
    <w:rsid w:val="0036525E"/>
    <w:rsid w:val="00366376"/>
    <w:rsid w:val="00370D08"/>
    <w:rsid w:val="003712E1"/>
    <w:rsid w:val="0037211C"/>
    <w:rsid w:val="00373B81"/>
    <w:rsid w:val="00374D3A"/>
    <w:rsid w:val="00375613"/>
    <w:rsid w:val="00377720"/>
    <w:rsid w:val="00380848"/>
    <w:rsid w:val="00381290"/>
    <w:rsid w:val="003829AE"/>
    <w:rsid w:val="00382E4C"/>
    <w:rsid w:val="00383301"/>
    <w:rsid w:val="003839FC"/>
    <w:rsid w:val="00386535"/>
    <w:rsid w:val="003868AF"/>
    <w:rsid w:val="00390376"/>
    <w:rsid w:val="003923AE"/>
    <w:rsid w:val="003935DD"/>
    <w:rsid w:val="00393960"/>
    <w:rsid w:val="00393A69"/>
    <w:rsid w:val="003A2764"/>
    <w:rsid w:val="003A5493"/>
    <w:rsid w:val="003A6E30"/>
    <w:rsid w:val="003A7207"/>
    <w:rsid w:val="003A7381"/>
    <w:rsid w:val="003A74F4"/>
    <w:rsid w:val="003B0026"/>
    <w:rsid w:val="003B5095"/>
    <w:rsid w:val="003B517A"/>
    <w:rsid w:val="003B5719"/>
    <w:rsid w:val="003B6347"/>
    <w:rsid w:val="003B6574"/>
    <w:rsid w:val="003B70E2"/>
    <w:rsid w:val="003C08F6"/>
    <w:rsid w:val="003C10DE"/>
    <w:rsid w:val="003C135F"/>
    <w:rsid w:val="003C1EAA"/>
    <w:rsid w:val="003C3F8F"/>
    <w:rsid w:val="003C48C9"/>
    <w:rsid w:val="003C5FC8"/>
    <w:rsid w:val="003D1245"/>
    <w:rsid w:val="003D1544"/>
    <w:rsid w:val="003D222C"/>
    <w:rsid w:val="003D2F5F"/>
    <w:rsid w:val="003D3E01"/>
    <w:rsid w:val="003D408F"/>
    <w:rsid w:val="003D41EC"/>
    <w:rsid w:val="003D5448"/>
    <w:rsid w:val="003D55F4"/>
    <w:rsid w:val="003D5802"/>
    <w:rsid w:val="003E03CA"/>
    <w:rsid w:val="003E0B78"/>
    <w:rsid w:val="003E0B7F"/>
    <w:rsid w:val="003E0C36"/>
    <w:rsid w:val="003E1AD0"/>
    <w:rsid w:val="003E1F13"/>
    <w:rsid w:val="003E6135"/>
    <w:rsid w:val="003F0E74"/>
    <w:rsid w:val="003F0EBB"/>
    <w:rsid w:val="003F1B9B"/>
    <w:rsid w:val="003F263A"/>
    <w:rsid w:val="003F3A80"/>
    <w:rsid w:val="003F5231"/>
    <w:rsid w:val="003F5A99"/>
    <w:rsid w:val="003F5DDB"/>
    <w:rsid w:val="003F6BF6"/>
    <w:rsid w:val="003F70D9"/>
    <w:rsid w:val="003F7437"/>
    <w:rsid w:val="003F7499"/>
    <w:rsid w:val="00401D81"/>
    <w:rsid w:val="00403CAA"/>
    <w:rsid w:val="00404913"/>
    <w:rsid w:val="00404F46"/>
    <w:rsid w:val="004058F1"/>
    <w:rsid w:val="00405E8C"/>
    <w:rsid w:val="00405F00"/>
    <w:rsid w:val="0040691D"/>
    <w:rsid w:val="004107F1"/>
    <w:rsid w:val="00410F76"/>
    <w:rsid w:val="004117AF"/>
    <w:rsid w:val="00413BA4"/>
    <w:rsid w:val="00415813"/>
    <w:rsid w:val="004159A5"/>
    <w:rsid w:val="0041694F"/>
    <w:rsid w:val="004177AA"/>
    <w:rsid w:val="00420477"/>
    <w:rsid w:val="0042110C"/>
    <w:rsid w:val="004239FC"/>
    <w:rsid w:val="004242F5"/>
    <w:rsid w:val="0042445C"/>
    <w:rsid w:val="0042449B"/>
    <w:rsid w:val="00424579"/>
    <w:rsid w:val="0042528D"/>
    <w:rsid w:val="004262FF"/>
    <w:rsid w:val="004269B4"/>
    <w:rsid w:val="00426AD8"/>
    <w:rsid w:val="00427671"/>
    <w:rsid w:val="00430678"/>
    <w:rsid w:val="004309FF"/>
    <w:rsid w:val="004325B0"/>
    <w:rsid w:val="00432667"/>
    <w:rsid w:val="00433D64"/>
    <w:rsid w:val="00433F79"/>
    <w:rsid w:val="00434B07"/>
    <w:rsid w:val="004350C9"/>
    <w:rsid w:val="00435620"/>
    <w:rsid w:val="004360E4"/>
    <w:rsid w:val="004370AF"/>
    <w:rsid w:val="004376E3"/>
    <w:rsid w:val="00444237"/>
    <w:rsid w:val="00444FEF"/>
    <w:rsid w:val="0044743C"/>
    <w:rsid w:val="00453E3D"/>
    <w:rsid w:val="004545AF"/>
    <w:rsid w:val="00455376"/>
    <w:rsid w:val="004563BE"/>
    <w:rsid w:val="004574BC"/>
    <w:rsid w:val="00460242"/>
    <w:rsid w:val="004607EA"/>
    <w:rsid w:val="004645D1"/>
    <w:rsid w:val="00465BF8"/>
    <w:rsid w:val="004662CB"/>
    <w:rsid w:val="004671D1"/>
    <w:rsid w:val="004676A7"/>
    <w:rsid w:val="004702B0"/>
    <w:rsid w:val="00470958"/>
    <w:rsid w:val="00471F0D"/>
    <w:rsid w:val="00474790"/>
    <w:rsid w:val="00477E6F"/>
    <w:rsid w:val="00480962"/>
    <w:rsid w:val="0048316C"/>
    <w:rsid w:val="0048361E"/>
    <w:rsid w:val="00483822"/>
    <w:rsid w:val="00483917"/>
    <w:rsid w:val="00485F69"/>
    <w:rsid w:val="00487B0C"/>
    <w:rsid w:val="00494488"/>
    <w:rsid w:val="00494F47"/>
    <w:rsid w:val="00495886"/>
    <w:rsid w:val="00496720"/>
    <w:rsid w:val="004A092B"/>
    <w:rsid w:val="004A0EF5"/>
    <w:rsid w:val="004A260B"/>
    <w:rsid w:val="004A2B0D"/>
    <w:rsid w:val="004A332D"/>
    <w:rsid w:val="004A6BA8"/>
    <w:rsid w:val="004B13D9"/>
    <w:rsid w:val="004B26C2"/>
    <w:rsid w:val="004B2D0D"/>
    <w:rsid w:val="004B2DEA"/>
    <w:rsid w:val="004B3AF3"/>
    <w:rsid w:val="004B433A"/>
    <w:rsid w:val="004B4C1F"/>
    <w:rsid w:val="004B5398"/>
    <w:rsid w:val="004B698F"/>
    <w:rsid w:val="004B7A77"/>
    <w:rsid w:val="004B7D94"/>
    <w:rsid w:val="004C0FBD"/>
    <w:rsid w:val="004C10A6"/>
    <w:rsid w:val="004C22D5"/>
    <w:rsid w:val="004C31FA"/>
    <w:rsid w:val="004C3724"/>
    <w:rsid w:val="004C48AD"/>
    <w:rsid w:val="004C5703"/>
    <w:rsid w:val="004C72B3"/>
    <w:rsid w:val="004C788C"/>
    <w:rsid w:val="004C7DEC"/>
    <w:rsid w:val="004D0423"/>
    <w:rsid w:val="004D254F"/>
    <w:rsid w:val="004D2618"/>
    <w:rsid w:val="004D3D46"/>
    <w:rsid w:val="004D6F6E"/>
    <w:rsid w:val="004D71F5"/>
    <w:rsid w:val="004E0470"/>
    <w:rsid w:val="004E47FE"/>
    <w:rsid w:val="004E5457"/>
    <w:rsid w:val="004E7204"/>
    <w:rsid w:val="004E7968"/>
    <w:rsid w:val="004F059F"/>
    <w:rsid w:val="004F0616"/>
    <w:rsid w:val="004F18B8"/>
    <w:rsid w:val="004F63F5"/>
    <w:rsid w:val="00504464"/>
    <w:rsid w:val="00505A4E"/>
    <w:rsid w:val="00505F90"/>
    <w:rsid w:val="005068F4"/>
    <w:rsid w:val="0051039B"/>
    <w:rsid w:val="005106F8"/>
    <w:rsid w:val="00511D76"/>
    <w:rsid w:val="00513235"/>
    <w:rsid w:val="00514955"/>
    <w:rsid w:val="00514DE0"/>
    <w:rsid w:val="00514EEE"/>
    <w:rsid w:val="00515C66"/>
    <w:rsid w:val="00517199"/>
    <w:rsid w:val="0051719B"/>
    <w:rsid w:val="00517770"/>
    <w:rsid w:val="005205DB"/>
    <w:rsid w:val="0052102D"/>
    <w:rsid w:val="00524387"/>
    <w:rsid w:val="00524737"/>
    <w:rsid w:val="005273F3"/>
    <w:rsid w:val="00531EE1"/>
    <w:rsid w:val="0053206C"/>
    <w:rsid w:val="005323A6"/>
    <w:rsid w:val="005359F8"/>
    <w:rsid w:val="00536AB0"/>
    <w:rsid w:val="005377CB"/>
    <w:rsid w:val="00537EE1"/>
    <w:rsid w:val="00540189"/>
    <w:rsid w:val="005421DB"/>
    <w:rsid w:val="00543923"/>
    <w:rsid w:val="00543B16"/>
    <w:rsid w:val="00543D8F"/>
    <w:rsid w:val="00544377"/>
    <w:rsid w:val="00557314"/>
    <w:rsid w:val="00557DC1"/>
    <w:rsid w:val="0056157D"/>
    <w:rsid w:val="00561BF0"/>
    <w:rsid w:val="00561CFD"/>
    <w:rsid w:val="005627BA"/>
    <w:rsid w:val="00563FBA"/>
    <w:rsid w:val="00565486"/>
    <w:rsid w:val="00566BBA"/>
    <w:rsid w:val="00567B46"/>
    <w:rsid w:val="005733CE"/>
    <w:rsid w:val="0057369E"/>
    <w:rsid w:val="005736A3"/>
    <w:rsid w:val="0057420B"/>
    <w:rsid w:val="00574D60"/>
    <w:rsid w:val="0057736D"/>
    <w:rsid w:val="00577962"/>
    <w:rsid w:val="00582487"/>
    <w:rsid w:val="00582989"/>
    <w:rsid w:val="0058335E"/>
    <w:rsid w:val="00584DED"/>
    <w:rsid w:val="00587136"/>
    <w:rsid w:val="005923E7"/>
    <w:rsid w:val="00592C18"/>
    <w:rsid w:val="0059374B"/>
    <w:rsid w:val="005955BE"/>
    <w:rsid w:val="005961C0"/>
    <w:rsid w:val="00596FE5"/>
    <w:rsid w:val="00597FCF"/>
    <w:rsid w:val="005A17C9"/>
    <w:rsid w:val="005A1BBC"/>
    <w:rsid w:val="005A3C18"/>
    <w:rsid w:val="005A547D"/>
    <w:rsid w:val="005A6633"/>
    <w:rsid w:val="005A6CED"/>
    <w:rsid w:val="005B0143"/>
    <w:rsid w:val="005B01B1"/>
    <w:rsid w:val="005B0901"/>
    <w:rsid w:val="005B1C37"/>
    <w:rsid w:val="005B2907"/>
    <w:rsid w:val="005B2E63"/>
    <w:rsid w:val="005B4E22"/>
    <w:rsid w:val="005B50D2"/>
    <w:rsid w:val="005B6F9F"/>
    <w:rsid w:val="005B70B8"/>
    <w:rsid w:val="005B7661"/>
    <w:rsid w:val="005B7EB0"/>
    <w:rsid w:val="005C103D"/>
    <w:rsid w:val="005C219C"/>
    <w:rsid w:val="005C2C0E"/>
    <w:rsid w:val="005C34D6"/>
    <w:rsid w:val="005C38AB"/>
    <w:rsid w:val="005C75EB"/>
    <w:rsid w:val="005D0716"/>
    <w:rsid w:val="005D1430"/>
    <w:rsid w:val="005D3812"/>
    <w:rsid w:val="005D6BD1"/>
    <w:rsid w:val="005D6DB5"/>
    <w:rsid w:val="005E161D"/>
    <w:rsid w:val="005E19D3"/>
    <w:rsid w:val="005E1AD7"/>
    <w:rsid w:val="005E245C"/>
    <w:rsid w:val="005E2845"/>
    <w:rsid w:val="005E3142"/>
    <w:rsid w:val="005E401B"/>
    <w:rsid w:val="005E52B1"/>
    <w:rsid w:val="005E57E1"/>
    <w:rsid w:val="005E5F09"/>
    <w:rsid w:val="005E6381"/>
    <w:rsid w:val="005E6AAE"/>
    <w:rsid w:val="005E78DB"/>
    <w:rsid w:val="005F0CE5"/>
    <w:rsid w:val="005F1551"/>
    <w:rsid w:val="005F19F6"/>
    <w:rsid w:val="005F3434"/>
    <w:rsid w:val="005F6ABD"/>
    <w:rsid w:val="00600132"/>
    <w:rsid w:val="006002A9"/>
    <w:rsid w:val="0060105B"/>
    <w:rsid w:val="00601FC9"/>
    <w:rsid w:val="0060412A"/>
    <w:rsid w:val="0060559E"/>
    <w:rsid w:val="00605769"/>
    <w:rsid w:val="00605A04"/>
    <w:rsid w:val="00606039"/>
    <w:rsid w:val="00606BF6"/>
    <w:rsid w:val="006074B1"/>
    <w:rsid w:val="006109B7"/>
    <w:rsid w:val="006128B1"/>
    <w:rsid w:val="00613E54"/>
    <w:rsid w:val="006142B2"/>
    <w:rsid w:val="006151F4"/>
    <w:rsid w:val="0061537F"/>
    <w:rsid w:val="0061577B"/>
    <w:rsid w:val="00616102"/>
    <w:rsid w:val="00617408"/>
    <w:rsid w:val="006206CC"/>
    <w:rsid w:val="00624AB1"/>
    <w:rsid w:val="00625657"/>
    <w:rsid w:val="00632EF1"/>
    <w:rsid w:val="006372F9"/>
    <w:rsid w:val="0063759A"/>
    <w:rsid w:val="00637F6E"/>
    <w:rsid w:val="0064204A"/>
    <w:rsid w:val="00642602"/>
    <w:rsid w:val="006434F6"/>
    <w:rsid w:val="006446A7"/>
    <w:rsid w:val="006448D2"/>
    <w:rsid w:val="00644B89"/>
    <w:rsid w:val="0064787B"/>
    <w:rsid w:val="006506FC"/>
    <w:rsid w:val="00650E3E"/>
    <w:rsid w:val="00651A2E"/>
    <w:rsid w:val="0065272E"/>
    <w:rsid w:val="00654653"/>
    <w:rsid w:val="00654D22"/>
    <w:rsid w:val="006557DD"/>
    <w:rsid w:val="0066215F"/>
    <w:rsid w:val="00662E65"/>
    <w:rsid w:val="00664FE8"/>
    <w:rsid w:val="006678CF"/>
    <w:rsid w:val="006702FE"/>
    <w:rsid w:val="00670CA1"/>
    <w:rsid w:val="00670FFE"/>
    <w:rsid w:val="006723C4"/>
    <w:rsid w:val="006753A2"/>
    <w:rsid w:val="00676C27"/>
    <w:rsid w:val="00676F90"/>
    <w:rsid w:val="0067758E"/>
    <w:rsid w:val="0067766A"/>
    <w:rsid w:val="0067792E"/>
    <w:rsid w:val="0068096C"/>
    <w:rsid w:val="00681F3B"/>
    <w:rsid w:val="00682512"/>
    <w:rsid w:val="006829BD"/>
    <w:rsid w:val="00683735"/>
    <w:rsid w:val="00685F6D"/>
    <w:rsid w:val="00691745"/>
    <w:rsid w:val="006926C4"/>
    <w:rsid w:val="00692F04"/>
    <w:rsid w:val="0069361F"/>
    <w:rsid w:val="00693F25"/>
    <w:rsid w:val="00694784"/>
    <w:rsid w:val="0069602E"/>
    <w:rsid w:val="00697215"/>
    <w:rsid w:val="00697B8E"/>
    <w:rsid w:val="006A1128"/>
    <w:rsid w:val="006A1C98"/>
    <w:rsid w:val="006A2671"/>
    <w:rsid w:val="006A3EB7"/>
    <w:rsid w:val="006A4266"/>
    <w:rsid w:val="006A44A1"/>
    <w:rsid w:val="006A5A05"/>
    <w:rsid w:val="006A633E"/>
    <w:rsid w:val="006A678E"/>
    <w:rsid w:val="006A7EC0"/>
    <w:rsid w:val="006B3E76"/>
    <w:rsid w:val="006C1335"/>
    <w:rsid w:val="006C3BA9"/>
    <w:rsid w:val="006C47FA"/>
    <w:rsid w:val="006C572D"/>
    <w:rsid w:val="006C71AA"/>
    <w:rsid w:val="006D2599"/>
    <w:rsid w:val="006D2616"/>
    <w:rsid w:val="006D6372"/>
    <w:rsid w:val="006D7D2E"/>
    <w:rsid w:val="006E07C8"/>
    <w:rsid w:val="006E0C71"/>
    <w:rsid w:val="006E0DE7"/>
    <w:rsid w:val="006E17FC"/>
    <w:rsid w:val="006E3B2A"/>
    <w:rsid w:val="006E3FCD"/>
    <w:rsid w:val="006E53BA"/>
    <w:rsid w:val="006E7744"/>
    <w:rsid w:val="006F0D5B"/>
    <w:rsid w:val="006F1BAB"/>
    <w:rsid w:val="006F3BC4"/>
    <w:rsid w:val="006F455F"/>
    <w:rsid w:val="006F590E"/>
    <w:rsid w:val="006F6056"/>
    <w:rsid w:val="006F6813"/>
    <w:rsid w:val="0070195A"/>
    <w:rsid w:val="0070262D"/>
    <w:rsid w:val="00703BEA"/>
    <w:rsid w:val="0070441C"/>
    <w:rsid w:val="0070458D"/>
    <w:rsid w:val="00704CD5"/>
    <w:rsid w:val="00705762"/>
    <w:rsid w:val="00706440"/>
    <w:rsid w:val="00706886"/>
    <w:rsid w:val="00707790"/>
    <w:rsid w:val="007078DD"/>
    <w:rsid w:val="00707B58"/>
    <w:rsid w:val="00707BE6"/>
    <w:rsid w:val="00710761"/>
    <w:rsid w:val="00713599"/>
    <w:rsid w:val="00717F07"/>
    <w:rsid w:val="0072014C"/>
    <w:rsid w:val="007225F1"/>
    <w:rsid w:val="007236D3"/>
    <w:rsid w:val="00723C4A"/>
    <w:rsid w:val="00724F67"/>
    <w:rsid w:val="0072653F"/>
    <w:rsid w:val="00726B8A"/>
    <w:rsid w:val="0072752B"/>
    <w:rsid w:val="0072787E"/>
    <w:rsid w:val="00730179"/>
    <w:rsid w:val="00730AC3"/>
    <w:rsid w:val="0073168F"/>
    <w:rsid w:val="00733285"/>
    <w:rsid w:val="00733D2A"/>
    <w:rsid w:val="00734D34"/>
    <w:rsid w:val="00737287"/>
    <w:rsid w:val="0073742C"/>
    <w:rsid w:val="00737430"/>
    <w:rsid w:val="00740578"/>
    <w:rsid w:val="00740C24"/>
    <w:rsid w:val="00743A60"/>
    <w:rsid w:val="00746229"/>
    <w:rsid w:val="00747053"/>
    <w:rsid w:val="007504EC"/>
    <w:rsid w:val="00750E1F"/>
    <w:rsid w:val="00751A37"/>
    <w:rsid w:val="00752665"/>
    <w:rsid w:val="0075367E"/>
    <w:rsid w:val="00754961"/>
    <w:rsid w:val="0075550F"/>
    <w:rsid w:val="00760BDF"/>
    <w:rsid w:val="00760FEC"/>
    <w:rsid w:val="007623D1"/>
    <w:rsid w:val="007625C1"/>
    <w:rsid w:val="00762723"/>
    <w:rsid w:val="00762DDC"/>
    <w:rsid w:val="00763089"/>
    <w:rsid w:val="0076308A"/>
    <w:rsid w:val="0076386C"/>
    <w:rsid w:val="00765AC8"/>
    <w:rsid w:val="007674B3"/>
    <w:rsid w:val="00770CFB"/>
    <w:rsid w:val="00771192"/>
    <w:rsid w:val="00773CC9"/>
    <w:rsid w:val="00773CE2"/>
    <w:rsid w:val="0077495C"/>
    <w:rsid w:val="00774A8D"/>
    <w:rsid w:val="00775166"/>
    <w:rsid w:val="00776DBC"/>
    <w:rsid w:val="00780106"/>
    <w:rsid w:val="00780F02"/>
    <w:rsid w:val="00781D08"/>
    <w:rsid w:val="00782572"/>
    <w:rsid w:val="00782BA2"/>
    <w:rsid w:val="00785ACE"/>
    <w:rsid w:val="00786961"/>
    <w:rsid w:val="00787C90"/>
    <w:rsid w:val="007914A2"/>
    <w:rsid w:val="00793F75"/>
    <w:rsid w:val="00794669"/>
    <w:rsid w:val="00794F4D"/>
    <w:rsid w:val="0079572D"/>
    <w:rsid w:val="00795D43"/>
    <w:rsid w:val="00797B8E"/>
    <w:rsid w:val="00797F86"/>
    <w:rsid w:val="007A00A3"/>
    <w:rsid w:val="007A13AD"/>
    <w:rsid w:val="007A14FA"/>
    <w:rsid w:val="007A2AF0"/>
    <w:rsid w:val="007A444B"/>
    <w:rsid w:val="007A554D"/>
    <w:rsid w:val="007A6253"/>
    <w:rsid w:val="007B0736"/>
    <w:rsid w:val="007B31F6"/>
    <w:rsid w:val="007B5B60"/>
    <w:rsid w:val="007B609A"/>
    <w:rsid w:val="007B732A"/>
    <w:rsid w:val="007C108E"/>
    <w:rsid w:val="007C3B68"/>
    <w:rsid w:val="007C3FCD"/>
    <w:rsid w:val="007C449A"/>
    <w:rsid w:val="007C47AD"/>
    <w:rsid w:val="007C482D"/>
    <w:rsid w:val="007C522C"/>
    <w:rsid w:val="007C7BFB"/>
    <w:rsid w:val="007D10A2"/>
    <w:rsid w:val="007D19AE"/>
    <w:rsid w:val="007D270F"/>
    <w:rsid w:val="007D518D"/>
    <w:rsid w:val="007D66C4"/>
    <w:rsid w:val="007D6D7C"/>
    <w:rsid w:val="007D7F3C"/>
    <w:rsid w:val="007E0915"/>
    <w:rsid w:val="007E26D4"/>
    <w:rsid w:val="007E2B81"/>
    <w:rsid w:val="007E4BF6"/>
    <w:rsid w:val="007E64C1"/>
    <w:rsid w:val="007E76C2"/>
    <w:rsid w:val="007F4703"/>
    <w:rsid w:val="007F53D3"/>
    <w:rsid w:val="007F736A"/>
    <w:rsid w:val="00801D62"/>
    <w:rsid w:val="00804253"/>
    <w:rsid w:val="00805470"/>
    <w:rsid w:val="00805673"/>
    <w:rsid w:val="00811F68"/>
    <w:rsid w:val="00812343"/>
    <w:rsid w:val="00812B9F"/>
    <w:rsid w:val="00813491"/>
    <w:rsid w:val="008137BE"/>
    <w:rsid w:val="00813999"/>
    <w:rsid w:val="008155D3"/>
    <w:rsid w:val="00816A92"/>
    <w:rsid w:val="00817709"/>
    <w:rsid w:val="00820F84"/>
    <w:rsid w:val="00822EAE"/>
    <w:rsid w:val="00824AE9"/>
    <w:rsid w:val="0082754F"/>
    <w:rsid w:val="00831C58"/>
    <w:rsid w:val="00831E3F"/>
    <w:rsid w:val="008351D5"/>
    <w:rsid w:val="0083572D"/>
    <w:rsid w:val="0083677E"/>
    <w:rsid w:val="00836E6D"/>
    <w:rsid w:val="00837996"/>
    <w:rsid w:val="00840BDD"/>
    <w:rsid w:val="008415D7"/>
    <w:rsid w:val="00841858"/>
    <w:rsid w:val="00841EFE"/>
    <w:rsid w:val="008434A4"/>
    <w:rsid w:val="00844FB6"/>
    <w:rsid w:val="00846097"/>
    <w:rsid w:val="00846CD3"/>
    <w:rsid w:val="0085292D"/>
    <w:rsid w:val="00852D62"/>
    <w:rsid w:val="008536B8"/>
    <w:rsid w:val="0085665A"/>
    <w:rsid w:val="008566AD"/>
    <w:rsid w:val="008573F6"/>
    <w:rsid w:val="00861A9B"/>
    <w:rsid w:val="00863127"/>
    <w:rsid w:val="008635F0"/>
    <w:rsid w:val="0086672E"/>
    <w:rsid w:val="008732E7"/>
    <w:rsid w:val="00873495"/>
    <w:rsid w:val="0087405E"/>
    <w:rsid w:val="0087568E"/>
    <w:rsid w:val="00875DFE"/>
    <w:rsid w:val="00876138"/>
    <w:rsid w:val="00881A75"/>
    <w:rsid w:val="008824F4"/>
    <w:rsid w:val="00887A1D"/>
    <w:rsid w:val="00887CCC"/>
    <w:rsid w:val="00890C2F"/>
    <w:rsid w:val="00891D8D"/>
    <w:rsid w:val="008929B1"/>
    <w:rsid w:val="00892E95"/>
    <w:rsid w:val="0089496A"/>
    <w:rsid w:val="0089533E"/>
    <w:rsid w:val="00897979"/>
    <w:rsid w:val="008A0898"/>
    <w:rsid w:val="008A0925"/>
    <w:rsid w:val="008A173C"/>
    <w:rsid w:val="008A4098"/>
    <w:rsid w:val="008A4154"/>
    <w:rsid w:val="008A4907"/>
    <w:rsid w:val="008A5211"/>
    <w:rsid w:val="008B094E"/>
    <w:rsid w:val="008B0D11"/>
    <w:rsid w:val="008B1344"/>
    <w:rsid w:val="008B1C1E"/>
    <w:rsid w:val="008B1F61"/>
    <w:rsid w:val="008B46F1"/>
    <w:rsid w:val="008B4887"/>
    <w:rsid w:val="008B603A"/>
    <w:rsid w:val="008B7611"/>
    <w:rsid w:val="008C0360"/>
    <w:rsid w:val="008C0D75"/>
    <w:rsid w:val="008C144A"/>
    <w:rsid w:val="008C19B2"/>
    <w:rsid w:val="008C5FFD"/>
    <w:rsid w:val="008C6B11"/>
    <w:rsid w:val="008D09D6"/>
    <w:rsid w:val="008D0FDF"/>
    <w:rsid w:val="008D287F"/>
    <w:rsid w:val="008D32B0"/>
    <w:rsid w:val="008D3AA5"/>
    <w:rsid w:val="008D3AD7"/>
    <w:rsid w:val="008D5204"/>
    <w:rsid w:val="008E20E1"/>
    <w:rsid w:val="008E381D"/>
    <w:rsid w:val="008E45AE"/>
    <w:rsid w:val="008E4766"/>
    <w:rsid w:val="008E4977"/>
    <w:rsid w:val="008E5546"/>
    <w:rsid w:val="008E6102"/>
    <w:rsid w:val="008E69B2"/>
    <w:rsid w:val="008E6CCC"/>
    <w:rsid w:val="008E72D1"/>
    <w:rsid w:val="008F0548"/>
    <w:rsid w:val="008F5441"/>
    <w:rsid w:val="008F5DCC"/>
    <w:rsid w:val="008F72A2"/>
    <w:rsid w:val="008F7E36"/>
    <w:rsid w:val="009002E7"/>
    <w:rsid w:val="0090094B"/>
    <w:rsid w:val="00900FF9"/>
    <w:rsid w:val="009024EB"/>
    <w:rsid w:val="009026FB"/>
    <w:rsid w:val="0090483A"/>
    <w:rsid w:val="009059A4"/>
    <w:rsid w:val="00905E3E"/>
    <w:rsid w:val="00906919"/>
    <w:rsid w:val="00906FA6"/>
    <w:rsid w:val="009070D7"/>
    <w:rsid w:val="009105D2"/>
    <w:rsid w:val="00911F78"/>
    <w:rsid w:val="00912141"/>
    <w:rsid w:val="00912978"/>
    <w:rsid w:val="00913FE6"/>
    <w:rsid w:val="00914552"/>
    <w:rsid w:val="0091485B"/>
    <w:rsid w:val="009159CA"/>
    <w:rsid w:val="00915F1B"/>
    <w:rsid w:val="00917D31"/>
    <w:rsid w:val="009214FB"/>
    <w:rsid w:val="00921657"/>
    <w:rsid w:val="0092195D"/>
    <w:rsid w:val="00921D82"/>
    <w:rsid w:val="009233F1"/>
    <w:rsid w:val="0092418E"/>
    <w:rsid w:val="00925A63"/>
    <w:rsid w:val="009265E8"/>
    <w:rsid w:val="0092665D"/>
    <w:rsid w:val="00927DDE"/>
    <w:rsid w:val="0093184F"/>
    <w:rsid w:val="00931B7A"/>
    <w:rsid w:val="0093237D"/>
    <w:rsid w:val="00932ACB"/>
    <w:rsid w:val="00932AFA"/>
    <w:rsid w:val="00932F42"/>
    <w:rsid w:val="0093343D"/>
    <w:rsid w:val="00934168"/>
    <w:rsid w:val="00936C0E"/>
    <w:rsid w:val="009377F6"/>
    <w:rsid w:val="00941650"/>
    <w:rsid w:val="00941821"/>
    <w:rsid w:val="00941C64"/>
    <w:rsid w:val="009431F7"/>
    <w:rsid w:val="00944D2C"/>
    <w:rsid w:val="0094580A"/>
    <w:rsid w:val="0094661E"/>
    <w:rsid w:val="00946A73"/>
    <w:rsid w:val="009477B9"/>
    <w:rsid w:val="00950191"/>
    <w:rsid w:val="00950AB4"/>
    <w:rsid w:val="00951A87"/>
    <w:rsid w:val="009522D8"/>
    <w:rsid w:val="009527E3"/>
    <w:rsid w:val="009532EC"/>
    <w:rsid w:val="00953979"/>
    <w:rsid w:val="00953F7D"/>
    <w:rsid w:val="00953F81"/>
    <w:rsid w:val="00955058"/>
    <w:rsid w:val="00955E46"/>
    <w:rsid w:val="00956900"/>
    <w:rsid w:val="00960261"/>
    <w:rsid w:val="00960268"/>
    <w:rsid w:val="009608C4"/>
    <w:rsid w:val="009615E6"/>
    <w:rsid w:val="00963104"/>
    <w:rsid w:val="009662A7"/>
    <w:rsid w:val="00966EDD"/>
    <w:rsid w:val="00971022"/>
    <w:rsid w:val="00971923"/>
    <w:rsid w:val="009742E8"/>
    <w:rsid w:val="009764A8"/>
    <w:rsid w:val="00976B07"/>
    <w:rsid w:val="0097786E"/>
    <w:rsid w:val="00977EBD"/>
    <w:rsid w:val="00977F69"/>
    <w:rsid w:val="00982376"/>
    <w:rsid w:val="00983D09"/>
    <w:rsid w:val="009846D6"/>
    <w:rsid w:val="00984FE4"/>
    <w:rsid w:val="0099019E"/>
    <w:rsid w:val="00993B23"/>
    <w:rsid w:val="0099426C"/>
    <w:rsid w:val="00994909"/>
    <w:rsid w:val="009956B0"/>
    <w:rsid w:val="0099581C"/>
    <w:rsid w:val="00995B79"/>
    <w:rsid w:val="00997572"/>
    <w:rsid w:val="009A22A7"/>
    <w:rsid w:val="009A5DAD"/>
    <w:rsid w:val="009B251D"/>
    <w:rsid w:val="009B2E4E"/>
    <w:rsid w:val="009B4F3C"/>
    <w:rsid w:val="009B54A4"/>
    <w:rsid w:val="009B5BFA"/>
    <w:rsid w:val="009B665A"/>
    <w:rsid w:val="009C0F2A"/>
    <w:rsid w:val="009C208E"/>
    <w:rsid w:val="009C36F2"/>
    <w:rsid w:val="009C55FA"/>
    <w:rsid w:val="009C587A"/>
    <w:rsid w:val="009C7D15"/>
    <w:rsid w:val="009D1FED"/>
    <w:rsid w:val="009D400A"/>
    <w:rsid w:val="009D42F1"/>
    <w:rsid w:val="009D5769"/>
    <w:rsid w:val="009D5D86"/>
    <w:rsid w:val="009D7064"/>
    <w:rsid w:val="009E2237"/>
    <w:rsid w:val="009E2CE8"/>
    <w:rsid w:val="009E3325"/>
    <w:rsid w:val="009E40CD"/>
    <w:rsid w:val="009E7BDD"/>
    <w:rsid w:val="009E7E0C"/>
    <w:rsid w:val="009F0111"/>
    <w:rsid w:val="009F6AE2"/>
    <w:rsid w:val="00A00088"/>
    <w:rsid w:val="00A043B7"/>
    <w:rsid w:val="00A04878"/>
    <w:rsid w:val="00A04DBB"/>
    <w:rsid w:val="00A05271"/>
    <w:rsid w:val="00A0681C"/>
    <w:rsid w:val="00A14969"/>
    <w:rsid w:val="00A14BBE"/>
    <w:rsid w:val="00A14C9C"/>
    <w:rsid w:val="00A14DD1"/>
    <w:rsid w:val="00A15469"/>
    <w:rsid w:val="00A16432"/>
    <w:rsid w:val="00A17D7D"/>
    <w:rsid w:val="00A17EF7"/>
    <w:rsid w:val="00A20016"/>
    <w:rsid w:val="00A20B51"/>
    <w:rsid w:val="00A22157"/>
    <w:rsid w:val="00A243B0"/>
    <w:rsid w:val="00A26157"/>
    <w:rsid w:val="00A2623B"/>
    <w:rsid w:val="00A330E6"/>
    <w:rsid w:val="00A344D3"/>
    <w:rsid w:val="00A34FD3"/>
    <w:rsid w:val="00A35701"/>
    <w:rsid w:val="00A35E95"/>
    <w:rsid w:val="00A37176"/>
    <w:rsid w:val="00A37B1D"/>
    <w:rsid w:val="00A37D0C"/>
    <w:rsid w:val="00A4071D"/>
    <w:rsid w:val="00A41693"/>
    <w:rsid w:val="00A44C48"/>
    <w:rsid w:val="00A451D8"/>
    <w:rsid w:val="00A4545F"/>
    <w:rsid w:val="00A45DD8"/>
    <w:rsid w:val="00A45DE7"/>
    <w:rsid w:val="00A470BB"/>
    <w:rsid w:val="00A5309E"/>
    <w:rsid w:val="00A53B0D"/>
    <w:rsid w:val="00A53F01"/>
    <w:rsid w:val="00A54C5F"/>
    <w:rsid w:val="00A557ED"/>
    <w:rsid w:val="00A5728C"/>
    <w:rsid w:val="00A607EF"/>
    <w:rsid w:val="00A609C3"/>
    <w:rsid w:val="00A6164C"/>
    <w:rsid w:val="00A6416A"/>
    <w:rsid w:val="00A653C6"/>
    <w:rsid w:val="00A656DB"/>
    <w:rsid w:val="00A65C60"/>
    <w:rsid w:val="00A66DB5"/>
    <w:rsid w:val="00A66F6D"/>
    <w:rsid w:val="00A70B09"/>
    <w:rsid w:val="00A7169C"/>
    <w:rsid w:val="00A7400D"/>
    <w:rsid w:val="00A75DC2"/>
    <w:rsid w:val="00A775D3"/>
    <w:rsid w:val="00A80D30"/>
    <w:rsid w:val="00A8211F"/>
    <w:rsid w:val="00A829FD"/>
    <w:rsid w:val="00A82D2B"/>
    <w:rsid w:val="00A84351"/>
    <w:rsid w:val="00A87987"/>
    <w:rsid w:val="00A91547"/>
    <w:rsid w:val="00A92955"/>
    <w:rsid w:val="00A94FF9"/>
    <w:rsid w:val="00A95D09"/>
    <w:rsid w:val="00AA0EFB"/>
    <w:rsid w:val="00AA100D"/>
    <w:rsid w:val="00AA2143"/>
    <w:rsid w:val="00AA2D53"/>
    <w:rsid w:val="00AA376C"/>
    <w:rsid w:val="00AA4404"/>
    <w:rsid w:val="00AA4A99"/>
    <w:rsid w:val="00AA5E97"/>
    <w:rsid w:val="00AA623B"/>
    <w:rsid w:val="00AA6C70"/>
    <w:rsid w:val="00AA6EC6"/>
    <w:rsid w:val="00AA7447"/>
    <w:rsid w:val="00AA77DC"/>
    <w:rsid w:val="00AA7E40"/>
    <w:rsid w:val="00AB0B8B"/>
    <w:rsid w:val="00AB1291"/>
    <w:rsid w:val="00AB1D06"/>
    <w:rsid w:val="00AB3478"/>
    <w:rsid w:val="00AB60AA"/>
    <w:rsid w:val="00AC1B1E"/>
    <w:rsid w:val="00AC22D2"/>
    <w:rsid w:val="00AC42A2"/>
    <w:rsid w:val="00AC564E"/>
    <w:rsid w:val="00AC59AC"/>
    <w:rsid w:val="00AC6E17"/>
    <w:rsid w:val="00AC6E77"/>
    <w:rsid w:val="00AC7865"/>
    <w:rsid w:val="00AD130D"/>
    <w:rsid w:val="00AD2C50"/>
    <w:rsid w:val="00AD2D37"/>
    <w:rsid w:val="00AD3B73"/>
    <w:rsid w:val="00AD59DD"/>
    <w:rsid w:val="00AD6A1B"/>
    <w:rsid w:val="00AE0CAA"/>
    <w:rsid w:val="00AE17D5"/>
    <w:rsid w:val="00AE3220"/>
    <w:rsid w:val="00AE4960"/>
    <w:rsid w:val="00AE4AA8"/>
    <w:rsid w:val="00AE502E"/>
    <w:rsid w:val="00AE5F16"/>
    <w:rsid w:val="00AE6D21"/>
    <w:rsid w:val="00AE7935"/>
    <w:rsid w:val="00AF2293"/>
    <w:rsid w:val="00AF27E2"/>
    <w:rsid w:val="00AF2CD4"/>
    <w:rsid w:val="00AF3464"/>
    <w:rsid w:val="00AF3A1D"/>
    <w:rsid w:val="00AF4570"/>
    <w:rsid w:val="00AF58D5"/>
    <w:rsid w:val="00AF76B7"/>
    <w:rsid w:val="00B010CE"/>
    <w:rsid w:val="00B02031"/>
    <w:rsid w:val="00B02D1B"/>
    <w:rsid w:val="00B0694D"/>
    <w:rsid w:val="00B10713"/>
    <w:rsid w:val="00B12231"/>
    <w:rsid w:val="00B16952"/>
    <w:rsid w:val="00B16FD0"/>
    <w:rsid w:val="00B204D2"/>
    <w:rsid w:val="00B2085C"/>
    <w:rsid w:val="00B21F9E"/>
    <w:rsid w:val="00B227A2"/>
    <w:rsid w:val="00B238C4"/>
    <w:rsid w:val="00B23B31"/>
    <w:rsid w:val="00B23F29"/>
    <w:rsid w:val="00B30434"/>
    <w:rsid w:val="00B30F62"/>
    <w:rsid w:val="00B311A9"/>
    <w:rsid w:val="00B319FD"/>
    <w:rsid w:val="00B33E96"/>
    <w:rsid w:val="00B411FC"/>
    <w:rsid w:val="00B41B1B"/>
    <w:rsid w:val="00B432A0"/>
    <w:rsid w:val="00B44F78"/>
    <w:rsid w:val="00B46058"/>
    <w:rsid w:val="00B46672"/>
    <w:rsid w:val="00B46777"/>
    <w:rsid w:val="00B474A7"/>
    <w:rsid w:val="00B47832"/>
    <w:rsid w:val="00B51359"/>
    <w:rsid w:val="00B52F5A"/>
    <w:rsid w:val="00B53722"/>
    <w:rsid w:val="00B537BD"/>
    <w:rsid w:val="00B54F7A"/>
    <w:rsid w:val="00B550DB"/>
    <w:rsid w:val="00B556AA"/>
    <w:rsid w:val="00B56460"/>
    <w:rsid w:val="00B57F2F"/>
    <w:rsid w:val="00B622DD"/>
    <w:rsid w:val="00B62E19"/>
    <w:rsid w:val="00B66D50"/>
    <w:rsid w:val="00B71338"/>
    <w:rsid w:val="00B7399F"/>
    <w:rsid w:val="00B774F5"/>
    <w:rsid w:val="00B775C8"/>
    <w:rsid w:val="00B80048"/>
    <w:rsid w:val="00B80599"/>
    <w:rsid w:val="00B82585"/>
    <w:rsid w:val="00B850C2"/>
    <w:rsid w:val="00B86611"/>
    <w:rsid w:val="00B904F5"/>
    <w:rsid w:val="00B90B1D"/>
    <w:rsid w:val="00B91573"/>
    <w:rsid w:val="00B932FD"/>
    <w:rsid w:val="00B93CBA"/>
    <w:rsid w:val="00B9443C"/>
    <w:rsid w:val="00B9472A"/>
    <w:rsid w:val="00B951B6"/>
    <w:rsid w:val="00B9612E"/>
    <w:rsid w:val="00B96FB1"/>
    <w:rsid w:val="00BA04B4"/>
    <w:rsid w:val="00BA09FE"/>
    <w:rsid w:val="00BA2903"/>
    <w:rsid w:val="00BA2C6D"/>
    <w:rsid w:val="00BA2E37"/>
    <w:rsid w:val="00BA3316"/>
    <w:rsid w:val="00BA378E"/>
    <w:rsid w:val="00BA4F77"/>
    <w:rsid w:val="00BA5F23"/>
    <w:rsid w:val="00BB0552"/>
    <w:rsid w:val="00BB0B3F"/>
    <w:rsid w:val="00BB0BAB"/>
    <w:rsid w:val="00BB1D63"/>
    <w:rsid w:val="00BB3D47"/>
    <w:rsid w:val="00BB6960"/>
    <w:rsid w:val="00BC10D0"/>
    <w:rsid w:val="00BC2606"/>
    <w:rsid w:val="00BC2CC7"/>
    <w:rsid w:val="00BC31EF"/>
    <w:rsid w:val="00BC5784"/>
    <w:rsid w:val="00BC643F"/>
    <w:rsid w:val="00BC7A37"/>
    <w:rsid w:val="00BD0717"/>
    <w:rsid w:val="00BD0CFB"/>
    <w:rsid w:val="00BD1738"/>
    <w:rsid w:val="00BD4FE7"/>
    <w:rsid w:val="00BD5ED9"/>
    <w:rsid w:val="00BD5F6C"/>
    <w:rsid w:val="00BD6172"/>
    <w:rsid w:val="00BD6A2B"/>
    <w:rsid w:val="00BD6D31"/>
    <w:rsid w:val="00BE0B55"/>
    <w:rsid w:val="00BE0E08"/>
    <w:rsid w:val="00BE19C9"/>
    <w:rsid w:val="00BE28C3"/>
    <w:rsid w:val="00BE28D0"/>
    <w:rsid w:val="00BE3486"/>
    <w:rsid w:val="00BE3D21"/>
    <w:rsid w:val="00BE477F"/>
    <w:rsid w:val="00BE6605"/>
    <w:rsid w:val="00BF1161"/>
    <w:rsid w:val="00BF18DD"/>
    <w:rsid w:val="00BF229C"/>
    <w:rsid w:val="00BF26CC"/>
    <w:rsid w:val="00BF2A09"/>
    <w:rsid w:val="00BF3682"/>
    <w:rsid w:val="00BF377A"/>
    <w:rsid w:val="00BF3B07"/>
    <w:rsid w:val="00BF4937"/>
    <w:rsid w:val="00C0014E"/>
    <w:rsid w:val="00C01E4D"/>
    <w:rsid w:val="00C03599"/>
    <w:rsid w:val="00C03E74"/>
    <w:rsid w:val="00C043F9"/>
    <w:rsid w:val="00C05271"/>
    <w:rsid w:val="00C05D37"/>
    <w:rsid w:val="00C05FCA"/>
    <w:rsid w:val="00C06A88"/>
    <w:rsid w:val="00C0712C"/>
    <w:rsid w:val="00C07BA9"/>
    <w:rsid w:val="00C12FA6"/>
    <w:rsid w:val="00C13664"/>
    <w:rsid w:val="00C13AA4"/>
    <w:rsid w:val="00C13B0B"/>
    <w:rsid w:val="00C13D1E"/>
    <w:rsid w:val="00C153E1"/>
    <w:rsid w:val="00C15E26"/>
    <w:rsid w:val="00C163CC"/>
    <w:rsid w:val="00C16B82"/>
    <w:rsid w:val="00C16BC6"/>
    <w:rsid w:val="00C176F8"/>
    <w:rsid w:val="00C2117B"/>
    <w:rsid w:val="00C2222E"/>
    <w:rsid w:val="00C229FB"/>
    <w:rsid w:val="00C246D7"/>
    <w:rsid w:val="00C262E4"/>
    <w:rsid w:val="00C2664E"/>
    <w:rsid w:val="00C26C02"/>
    <w:rsid w:val="00C27264"/>
    <w:rsid w:val="00C324F7"/>
    <w:rsid w:val="00C3257E"/>
    <w:rsid w:val="00C346F8"/>
    <w:rsid w:val="00C35E1E"/>
    <w:rsid w:val="00C402F2"/>
    <w:rsid w:val="00C4082A"/>
    <w:rsid w:val="00C40912"/>
    <w:rsid w:val="00C40DDB"/>
    <w:rsid w:val="00C411F5"/>
    <w:rsid w:val="00C419CF"/>
    <w:rsid w:val="00C42C0B"/>
    <w:rsid w:val="00C4330D"/>
    <w:rsid w:val="00C44011"/>
    <w:rsid w:val="00C45169"/>
    <w:rsid w:val="00C458B5"/>
    <w:rsid w:val="00C45B29"/>
    <w:rsid w:val="00C46EC0"/>
    <w:rsid w:val="00C51995"/>
    <w:rsid w:val="00C51D93"/>
    <w:rsid w:val="00C5456C"/>
    <w:rsid w:val="00C54BF2"/>
    <w:rsid w:val="00C55252"/>
    <w:rsid w:val="00C566AB"/>
    <w:rsid w:val="00C630F6"/>
    <w:rsid w:val="00C631AA"/>
    <w:rsid w:val="00C652D8"/>
    <w:rsid w:val="00C65C12"/>
    <w:rsid w:val="00C66C57"/>
    <w:rsid w:val="00C7113B"/>
    <w:rsid w:val="00C7279F"/>
    <w:rsid w:val="00C73E2D"/>
    <w:rsid w:val="00C742B3"/>
    <w:rsid w:val="00C74DA5"/>
    <w:rsid w:val="00C74F34"/>
    <w:rsid w:val="00C75D89"/>
    <w:rsid w:val="00C767A8"/>
    <w:rsid w:val="00C77088"/>
    <w:rsid w:val="00C77FE2"/>
    <w:rsid w:val="00C80514"/>
    <w:rsid w:val="00C8098B"/>
    <w:rsid w:val="00C813B7"/>
    <w:rsid w:val="00C84643"/>
    <w:rsid w:val="00C847BF"/>
    <w:rsid w:val="00C876C0"/>
    <w:rsid w:val="00C87F0E"/>
    <w:rsid w:val="00C9042F"/>
    <w:rsid w:val="00C90E47"/>
    <w:rsid w:val="00C913D3"/>
    <w:rsid w:val="00C94D86"/>
    <w:rsid w:val="00C95469"/>
    <w:rsid w:val="00C96F10"/>
    <w:rsid w:val="00CA192A"/>
    <w:rsid w:val="00CA1B59"/>
    <w:rsid w:val="00CA28BB"/>
    <w:rsid w:val="00CA3FC5"/>
    <w:rsid w:val="00CA5327"/>
    <w:rsid w:val="00CA5AFB"/>
    <w:rsid w:val="00CA777F"/>
    <w:rsid w:val="00CA7F75"/>
    <w:rsid w:val="00CB524B"/>
    <w:rsid w:val="00CB5D42"/>
    <w:rsid w:val="00CB798A"/>
    <w:rsid w:val="00CC02ED"/>
    <w:rsid w:val="00CC0502"/>
    <w:rsid w:val="00CC1FB4"/>
    <w:rsid w:val="00CC23DD"/>
    <w:rsid w:val="00CC448F"/>
    <w:rsid w:val="00CC4F57"/>
    <w:rsid w:val="00CC76BD"/>
    <w:rsid w:val="00CC76FE"/>
    <w:rsid w:val="00CC7F22"/>
    <w:rsid w:val="00CD0A8B"/>
    <w:rsid w:val="00CD3073"/>
    <w:rsid w:val="00CD3D23"/>
    <w:rsid w:val="00CD5D43"/>
    <w:rsid w:val="00CD614B"/>
    <w:rsid w:val="00CD6D20"/>
    <w:rsid w:val="00CE0A2A"/>
    <w:rsid w:val="00CE1B82"/>
    <w:rsid w:val="00CE2067"/>
    <w:rsid w:val="00CE3FC6"/>
    <w:rsid w:val="00CF33E4"/>
    <w:rsid w:val="00CF374B"/>
    <w:rsid w:val="00CF7730"/>
    <w:rsid w:val="00D009AE"/>
    <w:rsid w:val="00D01AE2"/>
    <w:rsid w:val="00D02608"/>
    <w:rsid w:val="00D04921"/>
    <w:rsid w:val="00D04EE6"/>
    <w:rsid w:val="00D061A5"/>
    <w:rsid w:val="00D066DE"/>
    <w:rsid w:val="00D06928"/>
    <w:rsid w:val="00D12B87"/>
    <w:rsid w:val="00D135F6"/>
    <w:rsid w:val="00D13612"/>
    <w:rsid w:val="00D1443D"/>
    <w:rsid w:val="00D14788"/>
    <w:rsid w:val="00D15DD3"/>
    <w:rsid w:val="00D16746"/>
    <w:rsid w:val="00D20021"/>
    <w:rsid w:val="00D20ED8"/>
    <w:rsid w:val="00D22486"/>
    <w:rsid w:val="00D23A37"/>
    <w:rsid w:val="00D24C22"/>
    <w:rsid w:val="00D24CCB"/>
    <w:rsid w:val="00D270EF"/>
    <w:rsid w:val="00D27128"/>
    <w:rsid w:val="00D27BC4"/>
    <w:rsid w:val="00D3107E"/>
    <w:rsid w:val="00D31712"/>
    <w:rsid w:val="00D33A5C"/>
    <w:rsid w:val="00D369FC"/>
    <w:rsid w:val="00D37277"/>
    <w:rsid w:val="00D40677"/>
    <w:rsid w:val="00D406AD"/>
    <w:rsid w:val="00D40A7C"/>
    <w:rsid w:val="00D40B07"/>
    <w:rsid w:val="00D41EC8"/>
    <w:rsid w:val="00D44AA4"/>
    <w:rsid w:val="00D44EB5"/>
    <w:rsid w:val="00D453AF"/>
    <w:rsid w:val="00D46189"/>
    <w:rsid w:val="00D46FBE"/>
    <w:rsid w:val="00D474C6"/>
    <w:rsid w:val="00D47E31"/>
    <w:rsid w:val="00D52414"/>
    <w:rsid w:val="00D52931"/>
    <w:rsid w:val="00D52E3C"/>
    <w:rsid w:val="00D5346A"/>
    <w:rsid w:val="00D534CD"/>
    <w:rsid w:val="00D55A9C"/>
    <w:rsid w:val="00D60D94"/>
    <w:rsid w:val="00D60FF3"/>
    <w:rsid w:val="00D61793"/>
    <w:rsid w:val="00D6278A"/>
    <w:rsid w:val="00D62F02"/>
    <w:rsid w:val="00D63641"/>
    <w:rsid w:val="00D675AB"/>
    <w:rsid w:val="00D70104"/>
    <w:rsid w:val="00D74112"/>
    <w:rsid w:val="00D76389"/>
    <w:rsid w:val="00D77167"/>
    <w:rsid w:val="00D8009A"/>
    <w:rsid w:val="00D8070D"/>
    <w:rsid w:val="00D8081F"/>
    <w:rsid w:val="00D8131C"/>
    <w:rsid w:val="00D81AF2"/>
    <w:rsid w:val="00D8201C"/>
    <w:rsid w:val="00D83B5A"/>
    <w:rsid w:val="00D85415"/>
    <w:rsid w:val="00D8548B"/>
    <w:rsid w:val="00D855EF"/>
    <w:rsid w:val="00D87807"/>
    <w:rsid w:val="00D911B3"/>
    <w:rsid w:val="00D9165B"/>
    <w:rsid w:val="00D92BC3"/>
    <w:rsid w:val="00D96399"/>
    <w:rsid w:val="00DA0F68"/>
    <w:rsid w:val="00DA1205"/>
    <w:rsid w:val="00DA1665"/>
    <w:rsid w:val="00DA24F1"/>
    <w:rsid w:val="00DA315A"/>
    <w:rsid w:val="00DA44B5"/>
    <w:rsid w:val="00DA4A4B"/>
    <w:rsid w:val="00DA4FBD"/>
    <w:rsid w:val="00DA58A8"/>
    <w:rsid w:val="00DA6CEE"/>
    <w:rsid w:val="00DA715C"/>
    <w:rsid w:val="00DA7E1B"/>
    <w:rsid w:val="00DB0B71"/>
    <w:rsid w:val="00DB16BF"/>
    <w:rsid w:val="00DB1D84"/>
    <w:rsid w:val="00DB2150"/>
    <w:rsid w:val="00DB27B2"/>
    <w:rsid w:val="00DB34AE"/>
    <w:rsid w:val="00DB4498"/>
    <w:rsid w:val="00DB4E9B"/>
    <w:rsid w:val="00DB58A7"/>
    <w:rsid w:val="00DB5D6B"/>
    <w:rsid w:val="00DB65AC"/>
    <w:rsid w:val="00DB7219"/>
    <w:rsid w:val="00DC0439"/>
    <w:rsid w:val="00DC045C"/>
    <w:rsid w:val="00DC1B33"/>
    <w:rsid w:val="00DC1BD3"/>
    <w:rsid w:val="00DC3595"/>
    <w:rsid w:val="00DC454A"/>
    <w:rsid w:val="00DC5B49"/>
    <w:rsid w:val="00DC7AC6"/>
    <w:rsid w:val="00DD07C5"/>
    <w:rsid w:val="00DD09F3"/>
    <w:rsid w:val="00DD1119"/>
    <w:rsid w:val="00DD150C"/>
    <w:rsid w:val="00DD4283"/>
    <w:rsid w:val="00DD46FA"/>
    <w:rsid w:val="00DD5440"/>
    <w:rsid w:val="00DD5984"/>
    <w:rsid w:val="00DD5EC3"/>
    <w:rsid w:val="00DD68D4"/>
    <w:rsid w:val="00DD6C09"/>
    <w:rsid w:val="00DE224F"/>
    <w:rsid w:val="00DE3647"/>
    <w:rsid w:val="00DE38E0"/>
    <w:rsid w:val="00DE3ADD"/>
    <w:rsid w:val="00DE49BF"/>
    <w:rsid w:val="00DE4D64"/>
    <w:rsid w:val="00DE610A"/>
    <w:rsid w:val="00DE6B14"/>
    <w:rsid w:val="00DE7F77"/>
    <w:rsid w:val="00DF0C1F"/>
    <w:rsid w:val="00DF10E3"/>
    <w:rsid w:val="00DF1A5E"/>
    <w:rsid w:val="00DF3667"/>
    <w:rsid w:val="00DF3ED4"/>
    <w:rsid w:val="00DF57B5"/>
    <w:rsid w:val="00DF5839"/>
    <w:rsid w:val="00E01A2D"/>
    <w:rsid w:val="00E033EB"/>
    <w:rsid w:val="00E062BE"/>
    <w:rsid w:val="00E06D5C"/>
    <w:rsid w:val="00E07EDD"/>
    <w:rsid w:val="00E10244"/>
    <w:rsid w:val="00E103FB"/>
    <w:rsid w:val="00E11E30"/>
    <w:rsid w:val="00E12644"/>
    <w:rsid w:val="00E12E39"/>
    <w:rsid w:val="00E13A0C"/>
    <w:rsid w:val="00E1550D"/>
    <w:rsid w:val="00E1652C"/>
    <w:rsid w:val="00E17EE7"/>
    <w:rsid w:val="00E2343F"/>
    <w:rsid w:val="00E23930"/>
    <w:rsid w:val="00E27DEB"/>
    <w:rsid w:val="00E3008E"/>
    <w:rsid w:val="00E3111E"/>
    <w:rsid w:val="00E32A42"/>
    <w:rsid w:val="00E34C40"/>
    <w:rsid w:val="00E36E34"/>
    <w:rsid w:val="00E41D2E"/>
    <w:rsid w:val="00E446B1"/>
    <w:rsid w:val="00E44D55"/>
    <w:rsid w:val="00E45380"/>
    <w:rsid w:val="00E4652A"/>
    <w:rsid w:val="00E469FB"/>
    <w:rsid w:val="00E46DCB"/>
    <w:rsid w:val="00E46ECE"/>
    <w:rsid w:val="00E50552"/>
    <w:rsid w:val="00E50ECE"/>
    <w:rsid w:val="00E51EA4"/>
    <w:rsid w:val="00E54189"/>
    <w:rsid w:val="00E5614D"/>
    <w:rsid w:val="00E5707B"/>
    <w:rsid w:val="00E577DB"/>
    <w:rsid w:val="00E60769"/>
    <w:rsid w:val="00E61246"/>
    <w:rsid w:val="00E61447"/>
    <w:rsid w:val="00E636CD"/>
    <w:rsid w:val="00E655F1"/>
    <w:rsid w:val="00E7271C"/>
    <w:rsid w:val="00E728BB"/>
    <w:rsid w:val="00E74B8A"/>
    <w:rsid w:val="00E758C8"/>
    <w:rsid w:val="00E80C0B"/>
    <w:rsid w:val="00E82FBE"/>
    <w:rsid w:val="00E84168"/>
    <w:rsid w:val="00E862BB"/>
    <w:rsid w:val="00E86438"/>
    <w:rsid w:val="00E873E5"/>
    <w:rsid w:val="00E90B2F"/>
    <w:rsid w:val="00E94177"/>
    <w:rsid w:val="00E94CDB"/>
    <w:rsid w:val="00E958D5"/>
    <w:rsid w:val="00E95914"/>
    <w:rsid w:val="00E961DC"/>
    <w:rsid w:val="00E97C8B"/>
    <w:rsid w:val="00EA061F"/>
    <w:rsid w:val="00EA08EF"/>
    <w:rsid w:val="00EA1106"/>
    <w:rsid w:val="00EA2E48"/>
    <w:rsid w:val="00EA44C3"/>
    <w:rsid w:val="00EA5363"/>
    <w:rsid w:val="00EA59C3"/>
    <w:rsid w:val="00EA5B45"/>
    <w:rsid w:val="00EA5EF6"/>
    <w:rsid w:val="00EA6657"/>
    <w:rsid w:val="00EB1EB4"/>
    <w:rsid w:val="00EB2CAA"/>
    <w:rsid w:val="00EB7CF6"/>
    <w:rsid w:val="00EC023F"/>
    <w:rsid w:val="00EC10E2"/>
    <w:rsid w:val="00EC1115"/>
    <w:rsid w:val="00EC16AD"/>
    <w:rsid w:val="00EC2464"/>
    <w:rsid w:val="00EC2508"/>
    <w:rsid w:val="00EC3C10"/>
    <w:rsid w:val="00EC52FB"/>
    <w:rsid w:val="00EC6946"/>
    <w:rsid w:val="00EC76B8"/>
    <w:rsid w:val="00EC7D1B"/>
    <w:rsid w:val="00ED0736"/>
    <w:rsid w:val="00ED0E2D"/>
    <w:rsid w:val="00ED1D22"/>
    <w:rsid w:val="00ED265B"/>
    <w:rsid w:val="00ED2756"/>
    <w:rsid w:val="00ED4A8C"/>
    <w:rsid w:val="00ED4F33"/>
    <w:rsid w:val="00ED51BE"/>
    <w:rsid w:val="00ED63F3"/>
    <w:rsid w:val="00ED655C"/>
    <w:rsid w:val="00ED7C39"/>
    <w:rsid w:val="00ED7F58"/>
    <w:rsid w:val="00EE0E82"/>
    <w:rsid w:val="00EE44CB"/>
    <w:rsid w:val="00EE6164"/>
    <w:rsid w:val="00EE6395"/>
    <w:rsid w:val="00EE6A95"/>
    <w:rsid w:val="00EF0B07"/>
    <w:rsid w:val="00EF3000"/>
    <w:rsid w:val="00EF36A3"/>
    <w:rsid w:val="00EF3C94"/>
    <w:rsid w:val="00EF4B51"/>
    <w:rsid w:val="00EF4CF5"/>
    <w:rsid w:val="00EF4ED6"/>
    <w:rsid w:val="00F007E9"/>
    <w:rsid w:val="00F01ACC"/>
    <w:rsid w:val="00F04564"/>
    <w:rsid w:val="00F05C1E"/>
    <w:rsid w:val="00F07616"/>
    <w:rsid w:val="00F107A5"/>
    <w:rsid w:val="00F10C16"/>
    <w:rsid w:val="00F15F12"/>
    <w:rsid w:val="00F16028"/>
    <w:rsid w:val="00F1722B"/>
    <w:rsid w:val="00F20347"/>
    <w:rsid w:val="00F21282"/>
    <w:rsid w:val="00F2133A"/>
    <w:rsid w:val="00F21C26"/>
    <w:rsid w:val="00F230C6"/>
    <w:rsid w:val="00F231BC"/>
    <w:rsid w:val="00F2487C"/>
    <w:rsid w:val="00F24957"/>
    <w:rsid w:val="00F26926"/>
    <w:rsid w:val="00F26DB6"/>
    <w:rsid w:val="00F27DF5"/>
    <w:rsid w:val="00F30772"/>
    <w:rsid w:val="00F309E5"/>
    <w:rsid w:val="00F31988"/>
    <w:rsid w:val="00F3228A"/>
    <w:rsid w:val="00F330BD"/>
    <w:rsid w:val="00F33784"/>
    <w:rsid w:val="00F358AE"/>
    <w:rsid w:val="00F35A36"/>
    <w:rsid w:val="00F35B8A"/>
    <w:rsid w:val="00F35E35"/>
    <w:rsid w:val="00F401EE"/>
    <w:rsid w:val="00F40296"/>
    <w:rsid w:val="00F40391"/>
    <w:rsid w:val="00F40E5E"/>
    <w:rsid w:val="00F40F13"/>
    <w:rsid w:val="00F4268D"/>
    <w:rsid w:val="00F43A20"/>
    <w:rsid w:val="00F43E4A"/>
    <w:rsid w:val="00F46619"/>
    <w:rsid w:val="00F506B5"/>
    <w:rsid w:val="00F5072E"/>
    <w:rsid w:val="00F50FA0"/>
    <w:rsid w:val="00F51DC2"/>
    <w:rsid w:val="00F52406"/>
    <w:rsid w:val="00F5264F"/>
    <w:rsid w:val="00F527E1"/>
    <w:rsid w:val="00F549D7"/>
    <w:rsid w:val="00F5698A"/>
    <w:rsid w:val="00F63BD9"/>
    <w:rsid w:val="00F63CCE"/>
    <w:rsid w:val="00F67C30"/>
    <w:rsid w:val="00F7001D"/>
    <w:rsid w:val="00F70151"/>
    <w:rsid w:val="00F7189A"/>
    <w:rsid w:val="00F73A44"/>
    <w:rsid w:val="00F73D37"/>
    <w:rsid w:val="00F74B97"/>
    <w:rsid w:val="00F758F7"/>
    <w:rsid w:val="00F772AE"/>
    <w:rsid w:val="00F777FD"/>
    <w:rsid w:val="00F8010B"/>
    <w:rsid w:val="00F838B3"/>
    <w:rsid w:val="00F84788"/>
    <w:rsid w:val="00F87811"/>
    <w:rsid w:val="00F87AFF"/>
    <w:rsid w:val="00F87BAA"/>
    <w:rsid w:val="00F90686"/>
    <w:rsid w:val="00F91832"/>
    <w:rsid w:val="00F9349C"/>
    <w:rsid w:val="00F934FE"/>
    <w:rsid w:val="00F936DC"/>
    <w:rsid w:val="00F939EE"/>
    <w:rsid w:val="00F94F62"/>
    <w:rsid w:val="00F9509F"/>
    <w:rsid w:val="00F95443"/>
    <w:rsid w:val="00F97DF7"/>
    <w:rsid w:val="00FA119B"/>
    <w:rsid w:val="00FA3A84"/>
    <w:rsid w:val="00FA3AF9"/>
    <w:rsid w:val="00FA4058"/>
    <w:rsid w:val="00FA449E"/>
    <w:rsid w:val="00FA4C20"/>
    <w:rsid w:val="00FA4F6B"/>
    <w:rsid w:val="00FA51B8"/>
    <w:rsid w:val="00FA6767"/>
    <w:rsid w:val="00FB11F5"/>
    <w:rsid w:val="00FB1C6A"/>
    <w:rsid w:val="00FB1C80"/>
    <w:rsid w:val="00FB2B38"/>
    <w:rsid w:val="00FB3134"/>
    <w:rsid w:val="00FB4EF0"/>
    <w:rsid w:val="00FB5014"/>
    <w:rsid w:val="00FB54EB"/>
    <w:rsid w:val="00FB5EF8"/>
    <w:rsid w:val="00FC0C33"/>
    <w:rsid w:val="00FC0E0F"/>
    <w:rsid w:val="00FC1307"/>
    <w:rsid w:val="00FC1F74"/>
    <w:rsid w:val="00FC29B5"/>
    <w:rsid w:val="00FC5B40"/>
    <w:rsid w:val="00FC5C40"/>
    <w:rsid w:val="00FC61A5"/>
    <w:rsid w:val="00FC6226"/>
    <w:rsid w:val="00FC62A4"/>
    <w:rsid w:val="00FC640A"/>
    <w:rsid w:val="00FC7849"/>
    <w:rsid w:val="00FC7CC5"/>
    <w:rsid w:val="00FD10C4"/>
    <w:rsid w:val="00FD11C2"/>
    <w:rsid w:val="00FD21E4"/>
    <w:rsid w:val="00FD4CA1"/>
    <w:rsid w:val="00FD506B"/>
    <w:rsid w:val="00FD6ADB"/>
    <w:rsid w:val="00FD70D1"/>
    <w:rsid w:val="00FE0608"/>
    <w:rsid w:val="00FE0D66"/>
    <w:rsid w:val="00FE1E97"/>
    <w:rsid w:val="00FE225C"/>
    <w:rsid w:val="00FE266C"/>
    <w:rsid w:val="00FE418B"/>
    <w:rsid w:val="00FF0746"/>
    <w:rsid w:val="00FF0FF8"/>
    <w:rsid w:val="00FF1F12"/>
    <w:rsid w:val="00FF2D84"/>
    <w:rsid w:val="00FF36AB"/>
    <w:rsid w:val="00FF582C"/>
    <w:rsid w:val="00FF77AB"/>
    <w:rsid w:val="00FF7B7D"/>
    <w:rsid w:val="00FF7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59BC209-52BD-DF49-A3CF-3C7F9AA68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0"/>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F5F"/>
  </w:style>
  <w:style w:type="paragraph" w:styleId="Heading1">
    <w:name w:val="heading 1"/>
    <w:basedOn w:val="Normal"/>
    <w:next w:val="Normal"/>
    <w:link w:val="Heading1Char"/>
    <w:qFormat/>
    <w:rsid w:val="00AA214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qFormat/>
    <w:rsid w:val="001E378E"/>
    <w:pPr>
      <w:spacing w:after="200" w:line="276" w:lineRule="auto"/>
      <w:outlineLvl w:val="1"/>
    </w:pPr>
    <w:rPr>
      <w:rFonts w:asciiTheme="minorHAnsi" w:eastAsiaTheme="minorEastAsia" w:hAnsiTheme="minorHAnsi" w:cstheme="minorBidi"/>
      <w:b/>
      <w:color w:val="000000"/>
      <w:sz w:val="26"/>
      <w:szCs w:val="26"/>
      <w:lang w:val="bs-Latn-BA" w:eastAsia="bs-Latn-BA"/>
    </w:rPr>
  </w:style>
  <w:style w:type="paragraph" w:styleId="Heading3">
    <w:name w:val="heading 3"/>
    <w:basedOn w:val="Normal"/>
    <w:next w:val="Normal"/>
    <w:link w:val="Heading3Char"/>
    <w:uiPriority w:val="9"/>
    <w:semiHidden/>
    <w:unhideWhenUsed/>
    <w:qFormat/>
    <w:rsid w:val="00567B4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41D2E"/>
    <w:pPr>
      <w:tabs>
        <w:tab w:val="center" w:pos="4513"/>
        <w:tab w:val="right" w:pos="9026"/>
      </w:tabs>
    </w:pPr>
  </w:style>
  <w:style w:type="character" w:customStyle="1" w:styleId="HeaderChar">
    <w:name w:val="Header Char"/>
    <w:basedOn w:val="DefaultParagraphFont"/>
    <w:link w:val="Header"/>
    <w:rsid w:val="00E41D2E"/>
  </w:style>
  <w:style w:type="paragraph" w:styleId="Footer">
    <w:name w:val="footer"/>
    <w:basedOn w:val="Normal"/>
    <w:link w:val="FooterChar"/>
    <w:uiPriority w:val="99"/>
    <w:unhideWhenUsed/>
    <w:rsid w:val="00E41D2E"/>
    <w:pPr>
      <w:tabs>
        <w:tab w:val="center" w:pos="4513"/>
        <w:tab w:val="right" w:pos="9026"/>
      </w:tabs>
    </w:pPr>
  </w:style>
  <w:style w:type="character" w:customStyle="1" w:styleId="FooterChar">
    <w:name w:val="Footer Char"/>
    <w:basedOn w:val="DefaultParagraphFont"/>
    <w:link w:val="Footer"/>
    <w:uiPriority w:val="99"/>
    <w:rsid w:val="00E41D2E"/>
  </w:style>
  <w:style w:type="paragraph" w:styleId="NormalWeb">
    <w:name w:val="Normal (Web)"/>
    <w:basedOn w:val="Normal"/>
    <w:uiPriority w:val="99"/>
    <w:unhideWhenUsed/>
    <w:rsid w:val="00900FF9"/>
    <w:pPr>
      <w:spacing w:before="100" w:beforeAutospacing="1" w:after="100" w:afterAutospacing="1"/>
    </w:pPr>
    <w:rPr>
      <w:rFonts w:ascii="Times New Roman" w:eastAsia="Times New Roman" w:hAnsi="Times New Roman" w:cs="Times New Roman"/>
      <w:lang w:eastAsia="en-GB"/>
    </w:rPr>
  </w:style>
  <w:style w:type="paragraph" w:styleId="NoSpacing">
    <w:name w:val="No Spacing"/>
    <w:uiPriority w:val="1"/>
    <w:qFormat/>
    <w:rsid w:val="008E69B2"/>
  </w:style>
  <w:style w:type="character" w:customStyle="1" w:styleId="Heading1Char">
    <w:name w:val="Heading 1 Char"/>
    <w:basedOn w:val="DefaultParagraphFont"/>
    <w:link w:val="Heading1"/>
    <w:rsid w:val="00AA214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1E378E"/>
    <w:rPr>
      <w:rFonts w:eastAsiaTheme="minorEastAsia"/>
      <w:b/>
      <w:color w:val="000000"/>
      <w:sz w:val="26"/>
      <w:szCs w:val="26"/>
      <w:lang w:val="bs-Latn-BA" w:eastAsia="bs-Latn-BA"/>
    </w:rPr>
  </w:style>
  <w:style w:type="paragraph" w:customStyle="1" w:styleId="Name">
    <w:name w:val="Name"/>
    <w:basedOn w:val="Normal"/>
    <w:rsid w:val="001E378E"/>
    <w:pPr>
      <w:spacing w:after="40" w:line="276" w:lineRule="auto"/>
      <w:jc w:val="center"/>
    </w:pPr>
    <w:rPr>
      <w:rFonts w:eastAsiaTheme="minorEastAsia"/>
      <w:color w:val="FE690D"/>
      <w:sz w:val="22"/>
      <w:szCs w:val="22"/>
      <w:lang w:val="bs-Latn-BA" w:eastAsia="bs-Latn-BA"/>
    </w:rPr>
  </w:style>
  <w:style w:type="paragraph" w:customStyle="1" w:styleId="Initials">
    <w:name w:val="Initials"/>
    <w:basedOn w:val="Normal"/>
    <w:qFormat/>
    <w:rsid w:val="001E378E"/>
    <w:pPr>
      <w:spacing w:after="200" w:line="276" w:lineRule="auto"/>
      <w:jc w:val="right"/>
    </w:pPr>
    <w:rPr>
      <w:rFonts w:eastAsiaTheme="minorEastAsia"/>
      <w:b/>
      <w:color w:val="FFFFFF"/>
      <w:sz w:val="100"/>
      <w:szCs w:val="22"/>
      <w:lang w:val="bs-Latn-BA" w:eastAsia="bs-Latn-BA"/>
    </w:rPr>
  </w:style>
  <w:style w:type="paragraph" w:styleId="BodyText">
    <w:name w:val="Body Text"/>
    <w:basedOn w:val="Normal"/>
    <w:link w:val="BodyTextChar"/>
    <w:rsid w:val="001E378E"/>
    <w:pPr>
      <w:spacing w:after="200" w:line="264" w:lineRule="auto"/>
    </w:pPr>
    <w:rPr>
      <w:rFonts w:eastAsiaTheme="minorEastAsia"/>
      <w:color w:val="595959"/>
      <w:sz w:val="22"/>
      <w:szCs w:val="20"/>
      <w:lang w:val="bs-Latn-BA" w:eastAsia="bs-Latn-BA"/>
    </w:rPr>
  </w:style>
  <w:style w:type="character" w:customStyle="1" w:styleId="BodyTextChar">
    <w:name w:val="Body Text Char"/>
    <w:basedOn w:val="DefaultParagraphFont"/>
    <w:link w:val="BodyText"/>
    <w:rsid w:val="001E378E"/>
    <w:rPr>
      <w:rFonts w:eastAsiaTheme="minorEastAsia"/>
      <w:color w:val="595959"/>
      <w:sz w:val="22"/>
      <w:szCs w:val="20"/>
      <w:lang w:val="bs-Latn-BA" w:eastAsia="bs-Latn-BA"/>
    </w:rPr>
  </w:style>
  <w:style w:type="paragraph" w:styleId="BodyText2">
    <w:name w:val="Body Text 2"/>
    <w:basedOn w:val="Normal"/>
    <w:link w:val="BodyText2Char"/>
    <w:rsid w:val="001E378E"/>
    <w:pPr>
      <w:spacing w:after="480" w:line="264" w:lineRule="auto"/>
    </w:pPr>
    <w:rPr>
      <w:rFonts w:ascii="Georgia" w:eastAsiaTheme="minorEastAsia" w:hAnsi="Georgia"/>
      <w:color w:val="595959"/>
      <w:sz w:val="22"/>
      <w:szCs w:val="20"/>
      <w:lang w:val="bs-Latn-BA" w:eastAsia="bs-Latn-BA"/>
    </w:rPr>
  </w:style>
  <w:style w:type="character" w:customStyle="1" w:styleId="BodyText2Char">
    <w:name w:val="Body Text 2 Char"/>
    <w:basedOn w:val="DefaultParagraphFont"/>
    <w:link w:val="BodyText2"/>
    <w:rsid w:val="001E378E"/>
    <w:rPr>
      <w:rFonts w:ascii="Georgia" w:eastAsiaTheme="minorEastAsia" w:hAnsi="Georgia"/>
      <w:color w:val="595959"/>
      <w:sz w:val="22"/>
      <w:szCs w:val="20"/>
      <w:lang w:val="bs-Latn-BA" w:eastAsia="bs-Latn-BA"/>
    </w:rPr>
  </w:style>
  <w:style w:type="table" w:styleId="ColorfulShading-Accent6">
    <w:name w:val="Colorful Shading Accent 6"/>
    <w:basedOn w:val="TableNormal"/>
    <w:rsid w:val="001E378E"/>
    <w:rPr>
      <w:rFonts w:ascii="Georgia" w:eastAsia="MS PMincho" w:hAnsi="Georgia" w:cs="Times New Roman"/>
      <w:sz w:val="20"/>
      <w:szCs w:val="20"/>
    </w:rPr>
    <w:tblPr>
      <w:tblStyleRowBandSize w:val="1"/>
      <w:tblStyleColBandSize w:val="1"/>
      <w:tblBorders>
        <w:top w:val="single" w:sz="8" w:space="0" w:color="186899"/>
        <w:left w:val="single" w:sz="8" w:space="0" w:color="186899"/>
        <w:bottom w:val="single" w:sz="8" w:space="0" w:color="186899"/>
        <w:right w:val="single" w:sz="8" w:space="0" w:color="186899"/>
        <w:insideH w:val="single" w:sz="8" w:space="0" w:color="186899"/>
        <w:insideV w:val="single" w:sz="8" w:space="0" w:color="186899"/>
      </w:tblBorders>
    </w:tblPr>
    <w:tblStylePr w:type="firstRow">
      <w:pPr>
        <w:spacing w:before="0" w:after="0" w:line="240" w:lineRule="auto"/>
      </w:pPr>
      <w:rPr>
        <w:rFonts w:ascii="Symbol" w:eastAsia="Helvetica" w:hAnsi="Symbol" w:cs="Times New Roman"/>
        <w:b/>
        <w:bCs/>
      </w:rPr>
      <w:tblPr/>
      <w:tcPr>
        <w:tcBorders>
          <w:top w:val="single" w:sz="8" w:space="0" w:color="186899"/>
          <w:left w:val="single" w:sz="8" w:space="0" w:color="186899"/>
          <w:bottom w:val="single" w:sz="18" w:space="0" w:color="186899"/>
          <w:right w:val="single" w:sz="8" w:space="0" w:color="186899"/>
          <w:insideH w:val="nil"/>
          <w:insideV w:val="single" w:sz="8" w:space="0" w:color="186899"/>
        </w:tcBorders>
      </w:tcPr>
    </w:tblStylePr>
    <w:tblStylePr w:type="lastRow">
      <w:pPr>
        <w:spacing w:before="0" w:after="0" w:line="240" w:lineRule="auto"/>
      </w:pPr>
      <w:rPr>
        <w:rFonts w:ascii="Symbol" w:eastAsia="Helvetica" w:hAnsi="Symbol" w:cs="Times New Roman"/>
        <w:b/>
        <w:bCs/>
      </w:rPr>
      <w:tblPr/>
      <w:tcPr>
        <w:tcBorders>
          <w:top w:val="double" w:sz="6" w:space="0" w:color="186899"/>
          <w:left w:val="single" w:sz="8" w:space="0" w:color="186899"/>
          <w:bottom w:val="single" w:sz="8" w:space="0" w:color="186899"/>
          <w:right w:val="single" w:sz="8" w:space="0" w:color="186899"/>
          <w:insideH w:val="nil"/>
          <w:insideV w:val="single" w:sz="8" w:space="0" w:color="186899"/>
        </w:tcBorders>
      </w:tcPr>
    </w:tblStylePr>
    <w:tblStylePr w:type="firstCol">
      <w:rPr>
        <w:rFonts w:ascii="Symbol" w:eastAsia="Helvetica" w:hAnsi="Symbol" w:cs="Times New Roman"/>
        <w:b/>
        <w:bCs/>
      </w:rPr>
    </w:tblStylePr>
    <w:tblStylePr w:type="lastCol">
      <w:rPr>
        <w:rFonts w:ascii="Symbol" w:eastAsia="Helvetica" w:hAnsi="Symbol" w:cs="Times New Roman"/>
        <w:b/>
        <w:bCs/>
      </w:rPr>
      <w:tblPr/>
      <w:tcPr>
        <w:tcBorders>
          <w:top w:val="single" w:sz="8" w:space="0" w:color="186899"/>
          <w:left w:val="single" w:sz="8" w:space="0" w:color="186899"/>
          <w:bottom w:val="single" w:sz="8" w:space="0" w:color="186899"/>
          <w:right w:val="single" w:sz="8" w:space="0" w:color="186899"/>
        </w:tcBorders>
      </w:tcPr>
    </w:tblStylePr>
    <w:tblStylePr w:type="band1Vert">
      <w:tblPr/>
      <w:tcPr>
        <w:tcBorders>
          <w:top w:val="single" w:sz="8" w:space="0" w:color="186899"/>
          <w:left w:val="single" w:sz="8" w:space="0" w:color="186899"/>
          <w:bottom w:val="single" w:sz="8" w:space="0" w:color="186899"/>
          <w:right w:val="single" w:sz="8" w:space="0" w:color="186899"/>
        </w:tcBorders>
        <w:shd w:val="clear" w:color="auto" w:fill="B7DDF4"/>
      </w:tcPr>
    </w:tblStylePr>
    <w:tblStylePr w:type="band1Horz">
      <w:tblPr/>
      <w:tcPr>
        <w:tcBorders>
          <w:top w:val="single" w:sz="8" w:space="0" w:color="186899"/>
          <w:left w:val="single" w:sz="8" w:space="0" w:color="186899"/>
          <w:bottom w:val="single" w:sz="8" w:space="0" w:color="186899"/>
          <w:right w:val="single" w:sz="8" w:space="0" w:color="186899"/>
          <w:insideV w:val="single" w:sz="8" w:space="0" w:color="186899"/>
        </w:tcBorders>
        <w:shd w:val="clear" w:color="auto" w:fill="B7DDF4"/>
      </w:tcPr>
    </w:tblStylePr>
    <w:tblStylePr w:type="band2Horz">
      <w:tblPr/>
      <w:tcPr>
        <w:tcBorders>
          <w:top w:val="single" w:sz="8" w:space="0" w:color="186899"/>
          <w:left w:val="single" w:sz="8" w:space="0" w:color="186899"/>
          <w:bottom w:val="single" w:sz="8" w:space="0" w:color="186899"/>
          <w:right w:val="single" w:sz="8" w:space="0" w:color="186899"/>
          <w:insideV w:val="single" w:sz="8" w:space="0" w:color="186899"/>
        </w:tcBorders>
      </w:tcPr>
    </w:tblStylePr>
  </w:style>
  <w:style w:type="table" w:styleId="TableGrid">
    <w:name w:val="Table Grid"/>
    <w:basedOn w:val="TableNormal"/>
    <w:uiPriority w:val="39"/>
    <w:rsid w:val="001E378E"/>
    <w:rPr>
      <w:rFonts w:ascii="Georgia" w:eastAsia="MS PMincho" w:hAnsi="Georg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1E378E"/>
    <w:rPr>
      <w:rFonts w:ascii="Myriad Pro" w:hAnsi="Myriad Pro"/>
      <w:b w:val="0"/>
      <w:i w:val="0"/>
      <w:sz w:val="16"/>
    </w:rPr>
  </w:style>
  <w:style w:type="paragraph" w:styleId="ListParagraph">
    <w:name w:val="List Paragraph"/>
    <w:aliases w:val="Podnaslov 1 sredina,List Paragraph (numbered (a)),Heading 21,Heading 211"/>
    <w:basedOn w:val="Normal"/>
    <w:link w:val="ListParagraphChar"/>
    <w:uiPriority w:val="1"/>
    <w:qFormat/>
    <w:rsid w:val="001E378E"/>
    <w:pPr>
      <w:spacing w:after="200" w:line="276" w:lineRule="auto"/>
      <w:ind w:left="720"/>
      <w:contextualSpacing/>
    </w:pPr>
    <w:rPr>
      <w:rFonts w:eastAsiaTheme="minorEastAsia"/>
      <w:sz w:val="22"/>
      <w:szCs w:val="22"/>
      <w:lang w:val="bs-Latn-BA" w:eastAsia="bs-Latn-BA"/>
    </w:rPr>
  </w:style>
  <w:style w:type="character" w:styleId="Hyperlink">
    <w:name w:val="Hyperlink"/>
    <w:basedOn w:val="DefaultParagraphFont"/>
    <w:uiPriority w:val="99"/>
    <w:rsid w:val="001E378E"/>
    <w:rPr>
      <w:color w:val="0563C1" w:themeColor="hyperlink"/>
      <w:u w:val="single"/>
    </w:rPr>
  </w:style>
  <w:style w:type="paragraph" w:styleId="BalloonText">
    <w:name w:val="Balloon Text"/>
    <w:basedOn w:val="Normal"/>
    <w:link w:val="BalloonTextChar"/>
    <w:semiHidden/>
    <w:unhideWhenUsed/>
    <w:rsid w:val="001E378E"/>
    <w:rPr>
      <w:rFonts w:ascii="Segoe UI" w:eastAsiaTheme="minorEastAsia" w:hAnsi="Segoe UI" w:cs="Segoe UI"/>
      <w:sz w:val="18"/>
      <w:szCs w:val="18"/>
      <w:lang w:val="bs-Latn-BA" w:eastAsia="bs-Latn-BA"/>
    </w:rPr>
  </w:style>
  <w:style w:type="character" w:customStyle="1" w:styleId="BalloonTextChar">
    <w:name w:val="Balloon Text Char"/>
    <w:basedOn w:val="DefaultParagraphFont"/>
    <w:link w:val="BalloonText"/>
    <w:semiHidden/>
    <w:rsid w:val="001E378E"/>
    <w:rPr>
      <w:rFonts w:ascii="Segoe UI" w:eastAsiaTheme="minorEastAsia" w:hAnsi="Segoe UI" w:cs="Segoe UI"/>
      <w:sz w:val="18"/>
      <w:szCs w:val="18"/>
      <w:lang w:val="bs-Latn-BA" w:eastAsia="bs-Latn-BA"/>
    </w:rPr>
  </w:style>
  <w:style w:type="paragraph" w:styleId="FootnoteText">
    <w:name w:val="footnote text"/>
    <w:basedOn w:val="Normal"/>
    <w:link w:val="FootnoteTextChar"/>
    <w:uiPriority w:val="99"/>
    <w:unhideWhenUsed/>
    <w:rsid w:val="001E378E"/>
    <w:rPr>
      <w:rFonts w:eastAsia="Calibri"/>
      <w:sz w:val="20"/>
      <w:szCs w:val="20"/>
      <w:lang w:val="hr-BA"/>
    </w:rPr>
  </w:style>
  <w:style w:type="character" w:customStyle="1" w:styleId="FootnoteTextChar">
    <w:name w:val="Footnote Text Char"/>
    <w:basedOn w:val="DefaultParagraphFont"/>
    <w:link w:val="FootnoteText"/>
    <w:uiPriority w:val="99"/>
    <w:rsid w:val="001E378E"/>
    <w:rPr>
      <w:rFonts w:eastAsia="Calibri"/>
      <w:sz w:val="20"/>
      <w:szCs w:val="20"/>
      <w:lang w:val="hr-BA"/>
    </w:rPr>
  </w:style>
  <w:style w:type="character" w:styleId="FootnoteReference">
    <w:name w:val="footnote reference"/>
    <w:basedOn w:val="DefaultParagraphFont"/>
    <w:uiPriority w:val="99"/>
    <w:semiHidden/>
    <w:unhideWhenUsed/>
    <w:rsid w:val="001E378E"/>
    <w:rPr>
      <w:vertAlign w:val="superscript"/>
    </w:rPr>
  </w:style>
  <w:style w:type="table" w:customStyle="1" w:styleId="MediumShading2-Accent51">
    <w:name w:val="Medium Shading 2 - Accent 51"/>
    <w:basedOn w:val="TableNormal"/>
    <w:rsid w:val="001E378E"/>
    <w:rPr>
      <w:rFonts w:ascii="Georgia" w:eastAsia="MS PMincho" w:hAnsi="Georgia" w:cs="Times New Roman"/>
      <w:sz w:val="20"/>
      <w:szCs w:val="20"/>
      <w:lang w:val="bs-Latn-BA" w:eastAsia="bs-Latn-BA"/>
    </w:rPr>
    <w:tblPr>
      <w:tblStyleRowBandSize w:val="1"/>
      <w:tblStyleColBandSize w:val="1"/>
      <w:tblBorders>
        <w:top w:val="single" w:sz="18" w:space="0" w:color="auto"/>
        <w:bottom w:val="single" w:sz="18" w:space="0" w:color="auto"/>
      </w:tblBorders>
    </w:tblPr>
    <w:tblStylePr w:type="firstRow">
      <w:pPr>
        <w:spacing w:beforeLines="0" w:beforeAutospacing="1" w:afterLines="0" w:afterAutospacing="1"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Lines="0" w:beforeAutospacing="1" w:afterLines="0" w:afterAutospacing="1"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63">
    <w:name w:val="Style63"/>
    <w:basedOn w:val="Normal"/>
    <w:uiPriority w:val="99"/>
    <w:rsid w:val="001E378E"/>
    <w:pPr>
      <w:widowControl w:val="0"/>
      <w:autoSpaceDE w:val="0"/>
      <w:autoSpaceDN w:val="0"/>
      <w:adjustRightInd w:val="0"/>
      <w:spacing w:line="274" w:lineRule="exact"/>
      <w:jc w:val="center"/>
    </w:pPr>
    <w:rPr>
      <w:rFonts w:ascii="Arial" w:eastAsia="Times New Roman" w:hAnsi="Arial" w:cs="Arial"/>
    </w:rPr>
  </w:style>
  <w:style w:type="character" w:styleId="Strong">
    <w:name w:val="Strong"/>
    <w:basedOn w:val="DefaultParagraphFont"/>
    <w:uiPriority w:val="22"/>
    <w:qFormat/>
    <w:rsid w:val="001E378E"/>
    <w:rPr>
      <w:b/>
      <w:bCs/>
    </w:rPr>
  </w:style>
  <w:style w:type="character" w:styleId="BookTitle">
    <w:name w:val="Book Title"/>
    <w:qFormat/>
    <w:rsid w:val="001E378E"/>
    <w:rPr>
      <w:b/>
      <w:bCs/>
      <w:i/>
      <w:iCs/>
      <w:spacing w:val="5"/>
    </w:rPr>
  </w:style>
  <w:style w:type="character" w:styleId="CommentReference">
    <w:name w:val="annotation reference"/>
    <w:basedOn w:val="DefaultParagraphFont"/>
    <w:semiHidden/>
    <w:unhideWhenUsed/>
    <w:rsid w:val="001E378E"/>
    <w:rPr>
      <w:sz w:val="16"/>
      <w:szCs w:val="16"/>
    </w:rPr>
  </w:style>
  <w:style w:type="paragraph" w:styleId="CommentText">
    <w:name w:val="annotation text"/>
    <w:basedOn w:val="Normal"/>
    <w:link w:val="CommentTextChar"/>
    <w:semiHidden/>
    <w:unhideWhenUsed/>
    <w:rsid w:val="001E378E"/>
    <w:pPr>
      <w:spacing w:after="200"/>
    </w:pPr>
    <w:rPr>
      <w:rFonts w:eastAsiaTheme="minorEastAsia"/>
      <w:sz w:val="20"/>
      <w:szCs w:val="20"/>
      <w:lang w:val="bs-Latn-BA" w:eastAsia="bs-Latn-BA"/>
    </w:rPr>
  </w:style>
  <w:style w:type="character" w:customStyle="1" w:styleId="CommentTextChar">
    <w:name w:val="Comment Text Char"/>
    <w:basedOn w:val="DefaultParagraphFont"/>
    <w:link w:val="CommentText"/>
    <w:semiHidden/>
    <w:rsid w:val="001E378E"/>
    <w:rPr>
      <w:rFonts w:eastAsiaTheme="minorEastAsia"/>
      <w:sz w:val="20"/>
      <w:szCs w:val="20"/>
      <w:lang w:val="bs-Latn-BA" w:eastAsia="bs-Latn-BA"/>
    </w:rPr>
  </w:style>
  <w:style w:type="paragraph" w:styleId="CommentSubject">
    <w:name w:val="annotation subject"/>
    <w:basedOn w:val="CommentText"/>
    <w:next w:val="CommentText"/>
    <w:link w:val="CommentSubjectChar"/>
    <w:semiHidden/>
    <w:unhideWhenUsed/>
    <w:rsid w:val="001E378E"/>
    <w:rPr>
      <w:b/>
      <w:bCs/>
    </w:rPr>
  </w:style>
  <w:style w:type="character" w:customStyle="1" w:styleId="CommentSubjectChar">
    <w:name w:val="Comment Subject Char"/>
    <w:basedOn w:val="CommentTextChar"/>
    <w:link w:val="CommentSubject"/>
    <w:semiHidden/>
    <w:rsid w:val="001E378E"/>
    <w:rPr>
      <w:rFonts w:eastAsiaTheme="minorEastAsia"/>
      <w:b/>
      <w:bCs/>
      <w:sz w:val="20"/>
      <w:szCs w:val="20"/>
      <w:lang w:val="bs-Latn-BA" w:eastAsia="bs-Latn-BA"/>
    </w:rPr>
  </w:style>
  <w:style w:type="character" w:customStyle="1" w:styleId="ListParagraphChar">
    <w:name w:val="List Paragraph Char"/>
    <w:aliases w:val="Podnaslov 1 sredina Char,List Paragraph (numbered (a)) Char,Heading 21 Char,Heading 211 Char"/>
    <w:link w:val="ListParagraph"/>
    <w:uiPriority w:val="1"/>
    <w:locked/>
    <w:rsid w:val="001E378E"/>
    <w:rPr>
      <w:rFonts w:eastAsiaTheme="minorEastAsia"/>
      <w:sz w:val="22"/>
      <w:szCs w:val="22"/>
      <w:lang w:val="bs-Latn-BA" w:eastAsia="bs-Latn-BA"/>
    </w:rPr>
  </w:style>
  <w:style w:type="character" w:customStyle="1" w:styleId="element-invisible">
    <w:name w:val="element-invisible"/>
    <w:basedOn w:val="DefaultParagraphFont"/>
    <w:rsid w:val="001E378E"/>
  </w:style>
  <w:style w:type="paragraph" w:styleId="TOCHeading">
    <w:name w:val="TOC Heading"/>
    <w:basedOn w:val="Heading1"/>
    <w:next w:val="Normal"/>
    <w:uiPriority w:val="39"/>
    <w:unhideWhenUsed/>
    <w:qFormat/>
    <w:rsid w:val="00567B46"/>
    <w:pPr>
      <w:spacing w:before="480" w:line="276" w:lineRule="auto"/>
      <w:outlineLvl w:val="9"/>
    </w:pPr>
    <w:rPr>
      <w:b/>
      <w:bCs/>
      <w:sz w:val="28"/>
      <w:szCs w:val="28"/>
    </w:rPr>
  </w:style>
  <w:style w:type="paragraph" w:styleId="TOC1">
    <w:name w:val="toc 1"/>
    <w:basedOn w:val="Normal"/>
    <w:next w:val="Normal"/>
    <w:autoRedefine/>
    <w:uiPriority w:val="39"/>
    <w:unhideWhenUsed/>
    <w:rsid w:val="00567B46"/>
    <w:pPr>
      <w:spacing w:before="120"/>
    </w:pPr>
    <w:rPr>
      <w:b/>
      <w:bCs/>
      <w:i/>
      <w:iCs/>
    </w:rPr>
  </w:style>
  <w:style w:type="paragraph" w:styleId="TOC2">
    <w:name w:val="toc 2"/>
    <w:basedOn w:val="Normal"/>
    <w:next w:val="Normal"/>
    <w:autoRedefine/>
    <w:uiPriority w:val="39"/>
    <w:unhideWhenUsed/>
    <w:rsid w:val="00567B46"/>
    <w:pPr>
      <w:spacing w:before="120"/>
      <w:ind w:left="240"/>
    </w:pPr>
    <w:rPr>
      <w:b/>
      <w:bCs/>
      <w:sz w:val="22"/>
      <w:szCs w:val="22"/>
    </w:rPr>
  </w:style>
  <w:style w:type="paragraph" w:styleId="TOC3">
    <w:name w:val="toc 3"/>
    <w:basedOn w:val="Normal"/>
    <w:next w:val="Normal"/>
    <w:autoRedefine/>
    <w:uiPriority w:val="39"/>
    <w:unhideWhenUsed/>
    <w:rsid w:val="00567B46"/>
    <w:pPr>
      <w:ind w:left="480"/>
    </w:pPr>
    <w:rPr>
      <w:sz w:val="20"/>
      <w:szCs w:val="20"/>
    </w:rPr>
  </w:style>
  <w:style w:type="paragraph" w:styleId="TOC4">
    <w:name w:val="toc 4"/>
    <w:basedOn w:val="Normal"/>
    <w:next w:val="Normal"/>
    <w:autoRedefine/>
    <w:uiPriority w:val="39"/>
    <w:semiHidden/>
    <w:unhideWhenUsed/>
    <w:rsid w:val="00567B46"/>
    <w:pPr>
      <w:ind w:left="720"/>
    </w:pPr>
    <w:rPr>
      <w:sz w:val="20"/>
      <w:szCs w:val="20"/>
    </w:rPr>
  </w:style>
  <w:style w:type="paragraph" w:styleId="TOC5">
    <w:name w:val="toc 5"/>
    <w:basedOn w:val="Normal"/>
    <w:next w:val="Normal"/>
    <w:autoRedefine/>
    <w:uiPriority w:val="39"/>
    <w:semiHidden/>
    <w:unhideWhenUsed/>
    <w:rsid w:val="00567B46"/>
    <w:pPr>
      <w:ind w:left="960"/>
    </w:pPr>
    <w:rPr>
      <w:sz w:val="20"/>
      <w:szCs w:val="20"/>
    </w:rPr>
  </w:style>
  <w:style w:type="paragraph" w:styleId="TOC6">
    <w:name w:val="toc 6"/>
    <w:basedOn w:val="Normal"/>
    <w:next w:val="Normal"/>
    <w:autoRedefine/>
    <w:uiPriority w:val="39"/>
    <w:semiHidden/>
    <w:unhideWhenUsed/>
    <w:rsid w:val="00567B46"/>
    <w:pPr>
      <w:ind w:left="1200"/>
    </w:pPr>
    <w:rPr>
      <w:sz w:val="20"/>
      <w:szCs w:val="20"/>
    </w:rPr>
  </w:style>
  <w:style w:type="paragraph" w:styleId="TOC7">
    <w:name w:val="toc 7"/>
    <w:basedOn w:val="Normal"/>
    <w:next w:val="Normal"/>
    <w:autoRedefine/>
    <w:uiPriority w:val="39"/>
    <w:semiHidden/>
    <w:unhideWhenUsed/>
    <w:rsid w:val="00567B46"/>
    <w:pPr>
      <w:ind w:left="1440"/>
    </w:pPr>
    <w:rPr>
      <w:sz w:val="20"/>
      <w:szCs w:val="20"/>
    </w:rPr>
  </w:style>
  <w:style w:type="paragraph" w:styleId="TOC8">
    <w:name w:val="toc 8"/>
    <w:basedOn w:val="Normal"/>
    <w:next w:val="Normal"/>
    <w:autoRedefine/>
    <w:uiPriority w:val="39"/>
    <w:semiHidden/>
    <w:unhideWhenUsed/>
    <w:rsid w:val="00567B46"/>
    <w:pPr>
      <w:ind w:left="1680"/>
    </w:pPr>
    <w:rPr>
      <w:sz w:val="20"/>
      <w:szCs w:val="20"/>
    </w:rPr>
  </w:style>
  <w:style w:type="paragraph" w:styleId="TOC9">
    <w:name w:val="toc 9"/>
    <w:basedOn w:val="Normal"/>
    <w:next w:val="Normal"/>
    <w:autoRedefine/>
    <w:uiPriority w:val="39"/>
    <w:semiHidden/>
    <w:unhideWhenUsed/>
    <w:rsid w:val="00567B46"/>
    <w:pPr>
      <w:ind w:left="1920"/>
    </w:pPr>
    <w:rPr>
      <w:sz w:val="20"/>
      <w:szCs w:val="20"/>
    </w:rPr>
  </w:style>
  <w:style w:type="paragraph" w:customStyle="1" w:styleId="a">
    <w:name w:val="наслов"/>
    <w:basedOn w:val="Heading1"/>
    <w:qFormat/>
    <w:rsid w:val="00567B46"/>
    <w:pPr>
      <w:numPr>
        <w:numId w:val="9"/>
      </w:numPr>
      <w:spacing w:before="0"/>
    </w:pPr>
    <w:rPr>
      <w:rFonts w:ascii="Times New Roman" w:eastAsia="Calibri" w:hAnsi="Times New Roman" w:cs="Times New Roman"/>
      <w:b/>
      <w:color w:val="auto"/>
      <w:sz w:val="28"/>
      <w:szCs w:val="28"/>
      <w:lang w:val="sr-Cyrl-RS"/>
    </w:rPr>
  </w:style>
  <w:style w:type="paragraph" w:customStyle="1" w:styleId="a0">
    <w:name w:val="поднаслов"/>
    <w:basedOn w:val="Heading2"/>
    <w:qFormat/>
    <w:rsid w:val="00567B46"/>
    <w:pPr>
      <w:numPr>
        <w:ilvl w:val="1"/>
        <w:numId w:val="9"/>
      </w:numPr>
      <w:spacing w:before="0" w:after="0"/>
    </w:pPr>
    <w:rPr>
      <w:rFonts w:ascii="Times New Roman" w:eastAsia="Calibri" w:hAnsi="Times New Roman" w:cs="Times New Roman"/>
      <w:sz w:val="24"/>
      <w:szCs w:val="24"/>
      <w:lang w:val="sr-Cyrl-RS" w:eastAsia="en-US"/>
    </w:rPr>
  </w:style>
  <w:style w:type="paragraph" w:customStyle="1" w:styleId="a1">
    <w:name w:val="подпод наслов"/>
    <w:basedOn w:val="Heading3"/>
    <w:qFormat/>
    <w:rsid w:val="00567B46"/>
    <w:pPr>
      <w:numPr>
        <w:ilvl w:val="2"/>
        <w:numId w:val="9"/>
      </w:numPr>
      <w:jc w:val="both"/>
    </w:pPr>
    <w:rPr>
      <w:rFonts w:ascii="Times New Roman" w:eastAsia="Calibri" w:hAnsi="Times New Roman" w:cs="Times New Roman"/>
      <w:b/>
      <w:color w:val="auto"/>
      <w:lang w:val="sr-Cyrl-RS"/>
    </w:rPr>
  </w:style>
  <w:style w:type="character" w:customStyle="1" w:styleId="Heading3Char">
    <w:name w:val="Heading 3 Char"/>
    <w:basedOn w:val="DefaultParagraphFont"/>
    <w:link w:val="Heading3"/>
    <w:uiPriority w:val="9"/>
    <w:semiHidden/>
    <w:rsid w:val="00567B46"/>
    <w:rPr>
      <w:rFonts w:asciiTheme="majorHAnsi" w:eastAsiaTheme="majorEastAsia" w:hAnsiTheme="majorHAnsi" w:cstheme="majorBidi"/>
      <w:color w:val="1F3763" w:themeColor="accent1" w:themeShade="7F"/>
    </w:rPr>
  </w:style>
  <w:style w:type="paragraph" w:styleId="Revision">
    <w:name w:val="Revision"/>
    <w:hidden/>
    <w:uiPriority w:val="99"/>
    <w:semiHidden/>
    <w:rsid w:val="00D23A37"/>
  </w:style>
  <w:style w:type="paragraph" w:customStyle="1" w:styleId="Default">
    <w:name w:val="Default"/>
    <w:rsid w:val="00B30F62"/>
    <w:pPr>
      <w:autoSpaceDE w:val="0"/>
      <w:autoSpaceDN w:val="0"/>
      <w:adjustRightInd w:val="0"/>
    </w:pPr>
    <w:rPr>
      <w:rFonts w:ascii="Calibri" w:hAnsi="Calibri" w:cs="Calibri"/>
      <w:color w:val="000000"/>
    </w:rPr>
  </w:style>
  <w:style w:type="paragraph" w:customStyle="1" w:styleId="Pa13">
    <w:name w:val="Pa13"/>
    <w:basedOn w:val="Default"/>
    <w:next w:val="Default"/>
    <w:uiPriority w:val="99"/>
    <w:rsid w:val="00B30F62"/>
    <w:pPr>
      <w:spacing w:line="241" w:lineRule="atLeast"/>
    </w:pPr>
    <w:rPr>
      <w:color w:val="auto"/>
    </w:rPr>
  </w:style>
  <w:style w:type="character" w:customStyle="1" w:styleId="A5">
    <w:name w:val="A5"/>
    <w:uiPriority w:val="99"/>
    <w:rsid w:val="00B30F62"/>
    <w:rPr>
      <w:color w:val="000000"/>
      <w:sz w:val="22"/>
      <w:szCs w:val="22"/>
    </w:rPr>
  </w:style>
  <w:style w:type="paragraph" w:customStyle="1" w:styleId="Pa11">
    <w:name w:val="Pa11"/>
    <w:basedOn w:val="Default"/>
    <w:next w:val="Default"/>
    <w:uiPriority w:val="99"/>
    <w:rsid w:val="0048316C"/>
    <w:pPr>
      <w:spacing w:line="241" w:lineRule="atLeast"/>
    </w:pPr>
    <w:rPr>
      <w:color w:val="auto"/>
    </w:rPr>
  </w:style>
  <w:style w:type="paragraph" w:customStyle="1" w:styleId="Pa15">
    <w:name w:val="Pa15"/>
    <w:basedOn w:val="Default"/>
    <w:next w:val="Default"/>
    <w:uiPriority w:val="99"/>
    <w:rsid w:val="0048316C"/>
    <w:pPr>
      <w:spacing w:line="221" w:lineRule="atLeast"/>
    </w:pPr>
    <w:rPr>
      <w:color w:val="auto"/>
    </w:rPr>
  </w:style>
  <w:style w:type="paragraph" w:customStyle="1" w:styleId="Pa10">
    <w:name w:val="Pa10"/>
    <w:basedOn w:val="Default"/>
    <w:next w:val="Default"/>
    <w:uiPriority w:val="99"/>
    <w:rsid w:val="006506FC"/>
    <w:pPr>
      <w:spacing w:line="221" w:lineRule="atLeast"/>
    </w:pPr>
    <w:rPr>
      <w:color w:val="auto"/>
    </w:rPr>
  </w:style>
  <w:style w:type="table" w:styleId="GridTable4-Accent5">
    <w:name w:val="Grid Table 4 Accent 5"/>
    <w:basedOn w:val="TableNormal"/>
    <w:uiPriority w:val="49"/>
    <w:rsid w:val="006506FC"/>
    <w:rPr>
      <w:sz w:val="22"/>
      <w:szCs w:val="22"/>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m746810356989512344msolistparagraph">
    <w:name w:val="m_746810356989512344msolistparagraph"/>
    <w:basedOn w:val="Normal"/>
    <w:rsid w:val="000F1BB8"/>
    <w:pPr>
      <w:spacing w:before="100" w:beforeAutospacing="1" w:after="100" w:afterAutospacing="1"/>
    </w:pPr>
    <w:rPr>
      <w:rFonts w:ascii="Times New Roman" w:eastAsia="Times New Roman" w:hAnsi="Times New Roman" w:cs="Times New Roman"/>
    </w:rPr>
  </w:style>
  <w:style w:type="paragraph" w:customStyle="1" w:styleId="m8351443333942088823msolistparagraph">
    <w:name w:val="m_8351443333942088823msolistparagraph"/>
    <w:basedOn w:val="Normal"/>
    <w:rsid w:val="00F7189A"/>
    <w:pPr>
      <w:spacing w:before="100" w:beforeAutospacing="1" w:after="100" w:afterAutospacing="1"/>
    </w:pPr>
    <w:rPr>
      <w:rFonts w:ascii="Times New Roman" w:eastAsia="Times New Roman" w:hAnsi="Times New Roman" w:cs="Times New Roman"/>
    </w:rPr>
  </w:style>
  <w:style w:type="paragraph" w:customStyle="1" w:styleId="m8351443333942088823msoplaintext">
    <w:name w:val="m_8351443333942088823msoplaintext"/>
    <w:basedOn w:val="Normal"/>
    <w:rsid w:val="00F7189A"/>
    <w:pPr>
      <w:spacing w:before="100" w:beforeAutospacing="1" w:after="100" w:afterAutospacing="1"/>
    </w:pPr>
    <w:rPr>
      <w:rFonts w:ascii="Times New Roman" w:eastAsia="Times New Roman" w:hAnsi="Times New Roman" w:cs="Times New Roman"/>
    </w:rPr>
  </w:style>
  <w:style w:type="table" w:styleId="ListTable4-Accent5">
    <w:name w:val="List Table 4 Accent 5"/>
    <w:basedOn w:val="TableNormal"/>
    <w:uiPriority w:val="49"/>
    <w:rsid w:val="00794F4D"/>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FollowedHyperlink">
    <w:name w:val="FollowedHyperlink"/>
    <w:basedOn w:val="DefaultParagraphFont"/>
    <w:uiPriority w:val="99"/>
    <w:semiHidden/>
    <w:unhideWhenUsed/>
    <w:rsid w:val="003E0B7F"/>
    <w:rPr>
      <w:color w:val="954F72" w:themeColor="followedHyperlink"/>
      <w:u w:val="single"/>
    </w:rPr>
  </w:style>
  <w:style w:type="table" w:customStyle="1" w:styleId="ListTable4-Accent51">
    <w:name w:val="List Table 4 - Accent 51"/>
    <w:basedOn w:val="TableNormal"/>
    <w:next w:val="ListTable4-Accent5"/>
    <w:uiPriority w:val="49"/>
    <w:rsid w:val="00F87AFF"/>
    <w:rPr>
      <w:sz w:val="22"/>
      <w:szCs w:val="22"/>
      <w:lang w:val="en-GB"/>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styleId="Emphasis">
    <w:name w:val="Emphasis"/>
    <w:basedOn w:val="DefaultParagraphFont"/>
    <w:uiPriority w:val="20"/>
    <w:qFormat/>
    <w:rsid w:val="00E01A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705">
      <w:bodyDiv w:val="1"/>
      <w:marLeft w:val="0"/>
      <w:marRight w:val="0"/>
      <w:marTop w:val="0"/>
      <w:marBottom w:val="0"/>
      <w:divBdr>
        <w:top w:val="none" w:sz="0" w:space="0" w:color="auto"/>
        <w:left w:val="none" w:sz="0" w:space="0" w:color="auto"/>
        <w:bottom w:val="none" w:sz="0" w:space="0" w:color="auto"/>
        <w:right w:val="none" w:sz="0" w:space="0" w:color="auto"/>
      </w:divBdr>
    </w:div>
    <w:div w:id="25296919">
      <w:bodyDiv w:val="1"/>
      <w:marLeft w:val="0"/>
      <w:marRight w:val="0"/>
      <w:marTop w:val="0"/>
      <w:marBottom w:val="0"/>
      <w:divBdr>
        <w:top w:val="none" w:sz="0" w:space="0" w:color="auto"/>
        <w:left w:val="none" w:sz="0" w:space="0" w:color="auto"/>
        <w:bottom w:val="none" w:sz="0" w:space="0" w:color="auto"/>
        <w:right w:val="none" w:sz="0" w:space="0" w:color="auto"/>
      </w:divBdr>
    </w:div>
    <w:div w:id="73402639">
      <w:bodyDiv w:val="1"/>
      <w:marLeft w:val="0"/>
      <w:marRight w:val="0"/>
      <w:marTop w:val="0"/>
      <w:marBottom w:val="0"/>
      <w:divBdr>
        <w:top w:val="none" w:sz="0" w:space="0" w:color="auto"/>
        <w:left w:val="none" w:sz="0" w:space="0" w:color="auto"/>
        <w:bottom w:val="none" w:sz="0" w:space="0" w:color="auto"/>
        <w:right w:val="none" w:sz="0" w:space="0" w:color="auto"/>
      </w:divBdr>
    </w:div>
    <w:div w:id="109521755">
      <w:bodyDiv w:val="1"/>
      <w:marLeft w:val="0"/>
      <w:marRight w:val="0"/>
      <w:marTop w:val="0"/>
      <w:marBottom w:val="0"/>
      <w:divBdr>
        <w:top w:val="none" w:sz="0" w:space="0" w:color="auto"/>
        <w:left w:val="none" w:sz="0" w:space="0" w:color="auto"/>
        <w:bottom w:val="none" w:sz="0" w:space="0" w:color="auto"/>
        <w:right w:val="none" w:sz="0" w:space="0" w:color="auto"/>
      </w:divBdr>
    </w:div>
    <w:div w:id="138159253">
      <w:bodyDiv w:val="1"/>
      <w:marLeft w:val="0"/>
      <w:marRight w:val="0"/>
      <w:marTop w:val="0"/>
      <w:marBottom w:val="0"/>
      <w:divBdr>
        <w:top w:val="none" w:sz="0" w:space="0" w:color="auto"/>
        <w:left w:val="none" w:sz="0" w:space="0" w:color="auto"/>
        <w:bottom w:val="none" w:sz="0" w:space="0" w:color="auto"/>
        <w:right w:val="none" w:sz="0" w:space="0" w:color="auto"/>
      </w:divBdr>
    </w:div>
    <w:div w:id="150681139">
      <w:bodyDiv w:val="1"/>
      <w:marLeft w:val="0"/>
      <w:marRight w:val="0"/>
      <w:marTop w:val="0"/>
      <w:marBottom w:val="0"/>
      <w:divBdr>
        <w:top w:val="none" w:sz="0" w:space="0" w:color="auto"/>
        <w:left w:val="none" w:sz="0" w:space="0" w:color="auto"/>
        <w:bottom w:val="none" w:sz="0" w:space="0" w:color="auto"/>
        <w:right w:val="none" w:sz="0" w:space="0" w:color="auto"/>
      </w:divBdr>
    </w:div>
    <w:div w:id="163282499">
      <w:bodyDiv w:val="1"/>
      <w:marLeft w:val="0"/>
      <w:marRight w:val="0"/>
      <w:marTop w:val="0"/>
      <w:marBottom w:val="0"/>
      <w:divBdr>
        <w:top w:val="none" w:sz="0" w:space="0" w:color="auto"/>
        <w:left w:val="none" w:sz="0" w:space="0" w:color="auto"/>
        <w:bottom w:val="none" w:sz="0" w:space="0" w:color="auto"/>
        <w:right w:val="none" w:sz="0" w:space="0" w:color="auto"/>
      </w:divBdr>
    </w:div>
    <w:div w:id="260528582">
      <w:bodyDiv w:val="1"/>
      <w:marLeft w:val="0"/>
      <w:marRight w:val="0"/>
      <w:marTop w:val="0"/>
      <w:marBottom w:val="0"/>
      <w:divBdr>
        <w:top w:val="none" w:sz="0" w:space="0" w:color="auto"/>
        <w:left w:val="none" w:sz="0" w:space="0" w:color="auto"/>
        <w:bottom w:val="none" w:sz="0" w:space="0" w:color="auto"/>
        <w:right w:val="none" w:sz="0" w:space="0" w:color="auto"/>
      </w:divBdr>
    </w:div>
    <w:div w:id="331416688">
      <w:bodyDiv w:val="1"/>
      <w:marLeft w:val="0"/>
      <w:marRight w:val="0"/>
      <w:marTop w:val="0"/>
      <w:marBottom w:val="0"/>
      <w:divBdr>
        <w:top w:val="none" w:sz="0" w:space="0" w:color="auto"/>
        <w:left w:val="none" w:sz="0" w:space="0" w:color="auto"/>
        <w:bottom w:val="none" w:sz="0" w:space="0" w:color="auto"/>
        <w:right w:val="none" w:sz="0" w:space="0" w:color="auto"/>
      </w:divBdr>
    </w:div>
    <w:div w:id="344289247">
      <w:bodyDiv w:val="1"/>
      <w:marLeft w:val="0"/>
      <w:marRight w:val="0"/>
      <w:marTop w:val="0"/>
      <w:marBottom w:val="0"/>
      <w:divBdr>
        <w:top w:val="none" w:sz="0" w:space="0" w:color="auto"/>
        <w:left w:val="none" w:sz="0" w:space="0" w:color="auto"/>
        <w:bottom w:val="none" w:sz="0" w:space="0" w:color="auto"/>
        <w:right w:val="none" w:sz="0" w:space="0" w:color="auto"/>
      </w:divBdr>
    </w:div>
    <w:div w:id="379017163">
      <w:bodyDiv w:val="1"/>
      <w:marLeft w:val="0"/>
      <w:marRight w:val="0"/>
      <w:marTop w:val="0"/>
      <w:marBottom w:val="0"/>
      <w:divBdr>
        <w:top w:val="none" w:sz="0" w:space="0" w:color="auto"/>
        <w:left w:val="none" w:sz="0" w:space="0" w:color="auto"/>
        <w:bottom w:val="none" w:sz="0" w:space="0" w:color="auto"/>
        <w:right w:val="none" w:sz="0" w:space="0" w:color="auto"/>
      </w:divBdr>
    </w:div>
    <w:div w:id="383606881">
      <w:bodyDiv w:val="1"/>
      <w:marLeft w:val="0"/>
      <w:marRight w:val="0"/>
      <w:marTop w:val="0"/>
      <w:marBottom w:val="0"/>
      <w:divBdr>
        <w:top w:val="none" w:sz="0" w:space="0" w:color="auto"/>
        <w:left w:val="none" w:sz="0" w:space="0" w:color="auto"/>
        <w:bottom w:val="none" w:sz="0" w:space="0" w:color="auto"/>
        <w:right w:val="none" w:sz="0" w:space="0" w:color="auto"/>
      </w:divBdr>
    </w:div>
    <w:div w:id="414281407">
      <w:bodyDiv w:val="1"/>
      <w:marLeft w:val="0"/>
      <w:marRight w:val="0"/>
      <w:marTop w:val="0"/>
      <w:marBottom w:val="0"/>
      <w:divBdr>
        <w:top w:val="none" w:sz="0" w:space="0" w:color="auto"/>
        <w:left w:val="none" w:sz="0" w:space="0" w:color="auto"/>
        <w:bottom w:val="none" w:sz="0" w:space="0" w:color="auto"/>
        <w:right w:val="none" w:sz="0" w:space="0" w:color="auto"/>
      </w:divBdr>
    </w:div>
    <w:div w:id="466897150">
      <w:bodyDiv w:val="1"/>
      <w:marLeft w:val="0"/>
      <w:marRight w:val="0"/>
      <w:marTop w:val="0"/>
      <w:marBottom w:val="0"/>
      <w:divBdr>
        <w:top w:val="none" w:sz="0" w:space="0" w:color="auto"/>
        <w:left w:val="none" w:sz="0" w:space="0" w:color="auto"/>
        <w:bottom w:val="none" w:sz="0" w:space="0" w:color="auto"/>
        <w:right w:val="none" w:sz="0" w:space="0" w:color="auto"/>
      </w:divBdr>
    </w:div>
    <w:div w:id="517503804">
      <w:bodyDiv w:val="1"/>
      <w:marLeft w:val="0"/>
      <w:marRight w:val="0"/>
      <w:marTop w:val="0"/>
      <w:marBottom w:val="0"/>
      <w:divBdr>
        <w:top w:val="none" w:sz="0" w:space="0" w:color="auto"/>
        <w:left w:val="none" w:sz="0" w:space="0" w:color="auto"/>
        <w:bottom w:val="none" w:sz="0" w:space="0" w:color="auto"/>
        <w:right w:val="none" w:sz="0" w:space="0" w:color="auto"/>
      </w:divBdr>
    </w:div>
    <w:div w:id="541791453">
      <w:bodyDiv w:val="1"/>
      <w:marLeft w:val="0"/>
      <w:marRight w:val="0"/>
      <w:marTop w:val="0"/>
      <w:marBottom w:val="0"/>
      <w:divBdr>
        <w:top w:val="none" w:sz="0" w:space="0" w:color="auto"/>
        <w:left w:val="none" w:sz="0" w:space="0" w:color="auto"/>
        <w:bottom w:val="none" w:sz="0" w:space="0" w:color="auto"/>
        <w:right w:val="none" w:sz="0" w:space="0" w:color="auto"/>
      </w:divBdr>
    </w:div>
    <w:div w:id="590309627">
      <w:bodyDiv w:val="1"/>
      <w:marLeft w:val="0"/>
      <w:marRight w:val="0"/>
      <w:marTop w:val="0"/>
      <w:marBottom w:val="0"/>
      <w:divBdr>
        <w:top w:val="none" w:sz="0" w:space="0" w:color="auto"/>
        <w:left w:val="none" w:sz="0" w:space="0" w:color="auto"/>
        <w:bottom w:val="none" w:sz="0" w:space="0" w:color="auto"/>
        <w:right w:val="none" w:sz="0" w:space="0" w:color="auto"/>
      </w:divBdr>
    </w:div>
    <w:div w:id="644624667">
      <w:bodyDiv w:val="1"/>
      <w:marLeft w:val="0"/>
      <w:marRight w:val="0"/>
      <w:marTop w:val="0"/>
      <w:marBottom w:val="0"/>
      <w:divBdr>
        <w:top w:val="none" w:sz="0" w:space="0" w:color="auto"/>
        <w:left w:val="none" w:sz="0" w:space="0" w:color="auto"/>
        <w:bottom w:val="none" w:sz="0" w:space="0" w:color="auto"/>
        <w:right w:val="none" w:sz="0" w:space="0" w:color="auto"/>
      </w:divBdr>
    </w:div>
    <w:div w:id="667682219">
      <w:bodyDiv w:val="1"/>
      <w:marLeft w:val="0"/>
      <w:marRight w:val="0"/>
      <w:marTop w:val="0"/>
      <w:marBottom w:val="0"/>
      <w:divBdr>
        <w:top w:val="none" w:sz="0" w:space="0" w:color="auto"/>
        <w:left w:val="none" w:sz="0" w:space="0" w:color="auto"/>
        <w:bottom w:val="none" w:sz="0" w:space="0" w:color="auto"/>
        <w:right w:val="none" w:sz="0" w:space="0" w:color="auto"/>
      </w:divBdr>
    </w:div>
    <w:div w:id="682560954">
      <w:bodyDiv w:val="1"/>
      <w:marLeft w:val="0"/>
      <w:marRight w:val="0"/>
      <w:marTop w:val="0"/>
      <w:marBottom w:val="0"/>
      <w:divBdr>
        <w:top w:val="none" w:sz="0" w:space="0" w:color="auto"/>
        <w:left w:val="none" w:sz="0" w:space="0" w:color="auto"/>
        <w:bottom w:val="none" w:sz="0" w:space="0" w:color="auto"/>
        <w:right w:val="none" w:sz="0" w:space="0" w:color="auto"/>
      </w:divBdr>
    </w:div>
    <w:div w:id="750977907">
      <w:bodyDiv w:val="1"/>
      <w:marLeft w:val="0"/>
      <w:marRight w:val="0"/>
      <w:marTop w:val="0"/>
      <w:marBottom w:val="0"/>
      <w:divBdr>
        <w:top w:val="none" w:sz="0" w:space="0" w:color="auto"/>
        <w:left w:val="none" w:sz="0" w:space="0" w:color="auto"/>
        <w:bottom w:val="none" w:sz="0" w:space="0" w:color="auto"/>
        <w:right w:val="none" w:sz="0" w:space="0" w:color="auto"/>
      </w:divBdr>
    </w:div>
    <w:div w:id="855995863">
      <w:bodyDiv w:val="1"/>
      <w:marLeft w:val="0"/>
      <w:marRight w:val="0"/>
      <w:marTop w:val="0"/>
      <w:marBottom w:val="0"/>
      <w:divBdr>
        <w:top w:val="none" w:sz="0" w:space="0" w:color="auto"/>
        <w:left w:val="none" w:sz="0" w:space="0" w:color="auto"/>
        <w:bottom w:val="none" w:sz="0" w:space="0" w:color="auto"/>
        <w:right w:val="none" w:sz="0" w:space="0" w:color="auto"/>
      </w:divBdr>
    </w:div>
    <w:div w:id="905726745">
      <w:bodyDiv w:val="1"/>
      <w:marLeft w:val="0"/>
      <w:marRight w:val="0"/>
      <w:marTop w:val="0"/>
      <w:marBottom w:val="0"/>
      <w:divBdr>
        <w:top w:val="none" w:sz="0" w:space="0" w:color="auto"/>
        <w:left w:val="none" w:sz="0" w:space="0" w:color="auto"/>
        <w:bottom w:val="none" w:sz="0" w:space="0" w:color="auto"/>
        <w:right w:val="none" w:sz="0" w:space="0" w:color="auto"/>
      </w:divBdr>
    </w:div>
    <w:div w:id="966199594">
      <w:bodyDiv w:val="1"/>
      <w:marLeft w:val="0"/>
      <w:marRight w:val="0"/>
      <w:marTop w:val="0"/>
      <w:marBottom w:val="0"/>
      <w:divBdr>
        <w:top w:val="none" w:sz="0" w:space="0" w:color="auto"/>
        <w:left w:val="none" w:sz="0" w:space="0" w:color="auto"/>
        <w:bottom w:val="none" w:sz="0" w:space="0" w:color="auto"/>
        <w:right w:val="none" w:sz="0" w:space="0" w:color="auto"/>
      </w:divBdr>
    </w:div>
    <w:div w:id="971833644">
      <w:bodyDiv w:val="1"/>
      <w:marLeft w:val="0"/>
      <w:marRight w:val="0"/>
      <w:marTop w:val="0"/>
      <w:marBottom w:val="0"/>
      <w:divBdr>
        <w:top w:val="none" w:sz="0" w:space="0" w:color="auto"/>
        <w:left w:val="none" w:sz="0" w:space="0" w:color="auto"/>
        <w:bottom w:val="none" w:sz="0" w:space="0" w:color="auto"/>
        <w:right w:val="none" w:sz="0" w:space="0" w:color="auto"/>
      </w:divBdr>
    </w:div>
    <w:div w:id="972562056">
      <w:bodyDiv w:val="1"/>
      <w:marLeft w:val="0"/>
      <w:marRight w:val="0"/>
      <w:marTop w:val="0"/>
      <w:marBottom w:val="0"/>
      <w:divBdr>
        <w:top w:val="none" w:sz="0" w:space="0" w:color="auto"/>
        <w:left w:val="none" w:sz="0" w:space="0" w:color="auto"/>
        <w:bottom w:val="none" w:sz="0" w:space="0" w:color="auto"/>
        <w:right w:val="none" w:sz="0" w:space="0" w:color="auto"/>
      </w:divBdr>
    </w:div>
    <w:div w:id="1012880080">
      <w:bodyDiv w:val="1"/>
      <w:marLeft w:val="0"/>
      <w:marRight w:val="0"/>
      <w:marTop w:val="0"/>
      <w:marBottom w:val="0"/>
      <w:divBdr>
        <w:top w:val="none" w:sz="0" w:space="0" w:color="auto"/>
        <w:left w:val="none" w:sz="0" w:space="0" w:color="auto"/>
        <w:bottom w:val="none" w:sz="0" w:space="0" w:color="auto"/>
        <w:right w:val="none" w:sz="0" w:space="0" w:color="auto"/>
      </w:divBdr>
    </w:div>
    <w:div w:id="1150705312">
      <w:bodyDiv w:val="1"/>
      <w:marLeft w:val="0"/>
      <w:marRight w:val="0"/>
      <w:marTop w:val="0"/>
      <w:marBottom w:val="0"/>
      <w:divBdr>
        <w:top w:val="none" w:sz="0" w:space="0" w:color="auto"/>
        <w:left w:val="none" w:sz="0" w:space="0" w:color="auto"/>
        <w:bottom w:val="none" w:sz="0" w:space="0" w:color="auto"/>
        <w:right w:val="none" w:sz="0" w:space="0" w:color="auto"/>
      </w:divBdr>
    </w:div>
    <w:div w:id="1171331418">
      <w:bodyDiv w:val="1"/>
      <w:marLeft w:val="0"/>
      <w:marRight w:val="0"/>
      <w:marTop w:val="0"/>
      <w:marBottom w:val="0"/>
      <w:divBdr>
        <w:top w:val="none" w:sz="0" w:space="0" w:color="auto"/>
        <w:left w:val="none" w:sz="0" w:space="0" w:color="auto"/>
        <w:bottom w:val="none" w:sz="0" w:space="0" w:color="auto"/>
        <w:right w:val="none" w:sz="0" w:space="0" w:color="auto"/>
      </w:divBdr>
    </w:div>
    <w:div w:id="1222594222">
      <w:bodyDiv w:val="1"/>
      <w:marLeft w:val="0"/>
      <w:marRight w:val="0"/>
      <w:marTop w:val="0"/>
      <w:marBottom w:val="0"/>
      <w:divBdr>
        <w:top w:val="none" w:sz="0" w:space="0" w:color="auto"/>
        <w:left w:val="none" w:sz="0" w:space="0" w:color="auto"/>
        <w:bottom w:val="none" w:sz="0" w:space="0" w:color="auto"/>
        <w:right w:val="none" w:sz="0" w:space="0" w:color="auto"/>
      </w:divBdr>
    </w:div>
    <w:div w:id="1276911299">
      <w:bodyDiv w:val="1"/>
      <w:marLeft w:val="0"/>
      <w:marRight w:val="0"/>
      <w:marTop w:val="0"/>
      <w:marBottom w:val="0"/>
      <w:divBdr>
        <w:top w:val="none" w:sz="0" w:space="0" w:color="auto"/>
        <w:left w:val="none" w:sz="0" w:space="0" w:color="auto"/>
        <w:bottom w:val="none" w:sz="0" w:space="0" w:color="auto"/>
        <w:right w:val="none" w:sz="0" w:space="0" w:color="auto"/>
      </w:divBdr>
    </w:div>
    <w:div w:id="1294406030">
      <w:bodyDiv w:val="1"/>
      <w:marLeft w:val="0"/>
      <w:marRight w:val="0"/>
      <w:marTop w:val="0"/>
      <w:marBottom w:val="0"/>
      <w:divBdr>
        <w:top w:val="none" w:sz="0" w:space="0" w:color="auto"/>
        <w:left w:val="none" w:sz="0" w:space="0" w:color="auto"/>
        <w:bottom w:val="none" w:sz="0" w:space="0" w:color="auto"/>
        <w:right w:val="none" w:sz="0" w:space="0" w:color="auto"/>
      </w:divBdr>
    </w:div>
    <w:div w:id="1305816648">
      <w:bodyDiv w:val="1"/>
      <w:marLeft w:val="0"/>
      <w:marRight w:val="0"/>
      <w:marTop w:val="0"/>
      <w:marBottom w:val="0"/>
      <w:divBdr>
        <w:top w:val="none" w:sz="0" w:space="0" w:color="auto"/>
        <w:left w:val="none" w:sz="0" w:space="0" w:color="auto"/>
        <w:bottom w:val="none" w:sz="0" w:space="0" w:color="auto"/>
        <w:right w:val="none" w:sz="0" w:space="0" w:color="auto"/>
      </w:divBdr>
    </w:div>
    <w:div w:id="1318607981">
      <w:bodyDiv w:val="1"/>
      <w:marLeft w:val="0"/>
      <w:marRight w:val="0"/>
      <w:marTop w:val="0"/>
      <w:marBottom w:val="0"/>
      <w:divBdr>
        <w:top w:val="none" w:sz="0" w:space="0" w:color="auto"/>
        <w:left w:val="none" w:sz="0" w:space="0" w:color="auto"/>
        <w:bottom w:val="none" w:sz="0" w:space="0" w:color="auto"/>
        <w:right w:val="none" w:sz="0" w:space="0" w:color="auto"/>
      </w:divBdr>
    </w:div>
    <w:div w:id="1328364894">
      <w:bodyDiv w:val="1"/>
      <w:marLeft w:val="0"/>
      <w:marRight w:val="0"/>
      <w:marTop w:val="0"/>
      <w:marBottom w:val="0"/>
      <w:divBdr>
        <w:top w:val="none" w:sz="0" w:space="0" w:color="auto"/>
        <w:left w:val="none" w:sz="0" w:space="0" w:color="auto"/>
        <w:bottom w:val="none" w:sz="0" w:space="0" w:color="auto"/>
        <w:right w:val="none" w:sz="0" w:space="0" w:color="auto"/>
      </w:divBdr>
    </w:div>
    <w:div w:id="1463383163">
      <w:bodyDiv w:val="1"/>
      <w:marLeft w:val="0"/>
      <w:marRight w:val="0"/>
      <w:marTop w:val="0"/>
      <w:marBottom w:val="0"/>
      <w:divBdr>
        <w:top w:val="none" w:sz="0" w:space="0" w:color="auto"/>
        <w:left w:val="none" w:sz="0" w:space="0" w:color="auto"/>
        <w:bottom w:val="none" w:sz="0" w:space="0" w:color="auto"/>
        <w:right w:val="none" w:sz="0" w:space="0" w:color="auto"/>
      </w:divBdr>
    </w:div>
    <w:div w:id="1483932555">
      <w:bodyDiv w:val="1"/>
      <w:marLeft w:val="0"/>
      <w:marRight w:val="0"/>
      <w:marTop w:val="0"/>
      <w:marBottom w:val="0"/>
      <w:divBdr>
        <w:top w:val="none" w:sz="0" w:space="0" w:color="auto"/>
        <w:left w:val="none" w:sz="0" w:space="0" w:color="auto"/>
        <w:bottom w:val="none" w:sz="0" w:space="0" w:color="auto"/>
        <w:right w:val="none" w:sz="0" w:space="0" w:color="auto"/>
      </w:divBdr>
    </w:div>
    <w:div w:id="1546915532">
      <w:bodyDiv w:val="1"/>
      <w:marLeft w:val="0"/>
      <w:marRight w:val="0"/>
      <w:marTop w:val="0"/>
      <w:marBottom w:val="0"/>
      <w:divBdr>
        <w:top w:val="none" w:sz="0" w:space="0" w:color="auto"/>
        <w:left w:val="none" w:sz="0" w:space="0" w:color="auto"/>
        <w:bottom w:val="none" w:sz="0" w:space="0" w:color="auto"/>
        <w:right w:val="none" w:sz="0" w:space="0" w:color="auto"/>
      </w:divBdr>
    </w:div>
    <w:div w:id="1558324769">
      <w:bodyDiv w:val="1"/>
      <w:marLeft w:val="0"/>
      <w:marRight w:val="0"/>
      <w:marTop w:val="0"/>
      <w:marBottom w:val="0"/>
      <w:divBdr>
        <w:top w:val="none" w:sz="0" w:space="0" w:color="auto"/>
        <w:left w:val="none" w:sz="0" w:space="0" w:color="auto"/>
        <w:bottom w:val="none" w:sz="0" w:space="0" w:color="auto"/>
        <w:right w:val="none" w:sz="0" w:space="0" w:color="auto"/>
      </w:divBdr>
    </w:div>
    <w:div w:id="1591157657">
      <w:bodyDiv w:val="1"/>
      <w:marLeft w:val="0"/>
      <w:marRight w:val="0"/>
      <w:marTop w:val="0"/>
      <w:marBottom w:val="0"/>
      <w:divBdr>
        <w:top w:val="none" w:sz="0" w:space="0" w:color="auto"/>
        <w:left w:val="none" w:sz="0" w:space="0" w:color="auto"/>
        <w:bottom w:val="none" w:sz="0" w:space="0" w:color="auto"/>
        <w:right w:val="none" w:sz="0" w:space="0" w:color="auto"/>
      </w:divBdr>
    </w:div>
    <w:div w:id="1633753463">
      <w:bodyDiv w:val="1"/>
      <w:marLeft w:val="0"/>
      <w:marRight w:val="0"/>
      <w:marTop w:val="0"/>
      <w:marBottom w:val="0"/>
      <w:divBdr>
        <w:top w:val="none" w:sz="0" w:space="0" w:color="auto"/>
        <w:left w:val="none" w:sz="0" w:space="0" w:color="auto"/>
        <w:bottom w:val="none" w:sz="0" w:space="0" w:color="auto"/>
        <w:right w:val="none" w:sz="0" w:space="0" w:color="auto"/>
      </w:divBdr>
    </w:div>
    <w:div w:id="1686394298">
      <w:bodyDiv w:val="1"/>
      <w:marLeft w:val="0"/>
      <w:marRight w:val="0"/>
      <w:marTop w:val="0"/>
      <w:marBottom w:val="0"/>
      <w:divBdr>
        <w:top w:val="none" w:sz="0" w:space="0" w:color="auto"/>
        <w:left w:val="none" w:sz="0" w:space="0" w:color="auto"/>
        <w:bottom w:val="none" w:sz="0" w:space="0" w:color="auto"/>
        <w:right w:val="none" w:sz="0" w:space="0" w:color="auto"/>
      </w:divBdr>
    </w:div>
    <w:div w:id="1720474503">
      <w:bodyDiv w:val="1"/>
      <w:marLeft w:val="0"/>
      <w:marRight w:val="0"/>
      <w:marTop w:val="0"/>
      <w:marBottom w:val="0"/>
      <w:divBdr>
        <w:top w:val="none" w:sz="0" w:space="0" w:color="auto"/>
        <w:left w:val="none" w:sz="0" w:space="0" w:color="auto"/>
        <w:bottom w:val="none" w:sz="0" w:space="0" w:color="auto"/>
        <w:right w:val="none" w:sz="0" w:space="0" w:color="auto"/>
      </w:divBdr>
    </w:div>
    <w:div w:id="1724209761">
      <w:bodyDiv w:val="1"/>
      <w:marLeft w:val="0"/>
      <w:marRight w:val="0"/>
      <w:marTop w:val="0"/>
      <w:marBottom w:val="0"/>
      <w:divBdr>
        <w:top w:val="none" w:sz="0" w:space="0" w:color="auto"/>
        <w:left w:val="none" w:sz="0" w:space="0" w:color="auto"/>
        <w:bottom w:val="none" w:sz="0" w:space="0" w:color="auto"/>
        <w:right w:val="none" w:sz="0" w:space="0" w:color="auto"/>
      </w:divBdr>
    </w:div>
    <w:div w:id="1739863849">
      <w:bodyDiv w:val="1"/>
      <w:marLeft w:val="0"/>
      <w:marRight w:val="0"/>
      <w:marTop w:val="0"/>
      <w:marBottom w:val="0"/>
      <w:divBdr>
        <w:top w:val="none" w:sz="0" w:space="0" w:color="auto"/>
        <w:left w:val="none" w:sz="0" w:space="0" w:color="auto"/>
        <w:bottom w:val="none" w:sz="0" w:space="0" w:color="auto"/>
        <w:right w:val="none" w:sz="0" w:space="0" w:color="auto"/>
      </w:divBdr>
    </w:div>
    <w:div w:id="1743142751">
      <w:bodyDiv w:val="1"/>
      <w:marLeft w:val="0"/>
      <w:marRight w:val="0"/>
      <w:marTop w:val="0"/>
      <w:marBottom w:val="0"/>
      <w:divBdr>
        <w:top w:val="none" w:sz="0" w:space="0" w:color="auto"/>
        <w:left w:val="none" w:sz="0" w:space="0" w:color="auto"/>
        <w:bottom w:val="none" w:sz="0" w:space="0" w:color="auto"/>
        <w:right w:val="none" w:sz="0" w:space="0" w:color="auto"/>
      </w:divBdr>
    </w:div>
    <w:div w:id="1813473783">
      <w:bodyDiv w:val="1"/>
      <w:marLeft w:val="0"/>
      <w:marRight w:val="0"/>
      <w:marTop w:val="0"/>
      <w:marBottom w:val="0"/>
      <w:divBdr>
        <w:top w:val="none" w:sz="0" w:space="0" w:color="auto"/>
        <w:left w:val="none" w:sz="0" w:space="0" w:color="auto"/>
        <w:bottom w:val="none" w:sz="0" w:space="0" w:color="auto"/>
        <w:right w:val="none" w:sz="0" w:space="0" w:color="auto"/>
      </w:divBdr>
    </w:div>
    <w:div w:id="1855992770">
      <w:bodyDiv w:val="1"/>
      <w:marLeft w:val="0"/>
      <w:marRight w:val="0"/>
      <w:marTop w:val="0"/>
      <w:marBottom w:val="0"/>
      <w:divBdr>
        <w:top w:val="none" w:sz="0" w:space="0" w:color="auto"/>
        <w:left w:val="none" w:sz="0" w:space="0" w:color="auto"/>
        <w:bottom w:val="none" w:sz="0" w:space="0" w:color="auto"/>
        <w:right w:val="none" w:sz="0" w:space="0" w:color="auto"/>
      </w:divBdr>
    </w:div>
    <w:div w:id="1876847943">
      <w:bodyDiv w:val="1"/>
      <w:marLeft w:val="0"/>
      <w:marRight w:val="0"/>
      <w:marTop w:val="0"/>
      <w:marBottom w:val="0"/>
      <w:divBdr>
        <w:top w:val="none" w:sz="0" w:space="0" w:color="auto"/>
        <w:left w:val="none" w:sz="0" w:space="0" w:color="auto"/>
        <w:bottom w:val="none" w:sz="0" w:space="0" w:color="auto"/>
        <w:right w:val="none" w:sz="0" w:space="0" w:color="auto"/>
      </w:divBdr>
    </w:div>
    <w:div w:id="1881093386">
      <w:bodyDiv w:val="1"/>
      <w:marLeft w:val="0"/>
      <w:marRight w:val="0"/>
      <w:marTop w:val="0"/>
      <w:marBottom w:val="0"/>
      <w:divBdr>
        <w:top w:val="none" w:sz="0" w:space="0" w:color="auto"/>
        <w:left w:val="none" w:sz="0" w:space="0" w:color="auto"/>
        <w:bottom w:val="none" w:sz="0" w:space="0" w:color="auto"/>
        <w:right w:val="none" w:sz="0" w:space="0" w:color="auto"/>
      </w:divBdr>
    </w:div>
    <w:div w:id="1906715582">
      <w:bodyDiv w:val="1"/>
      <w:marLeft w:val="0"/>
      <w:marRight w:val="0"/>
      <w:marTop w:val="0"/>
      <w:marBottom w:val="0"/>
      <w:divBdr>
        <w:top w:val="none" w:sz="0" w:space="0" w:color="auto"/>
        <w:left w:val="none" w:sz="0" w:space="0" w:color="auto"/>
        <w:bottom w:val="none" w:sz="0" w:space="0" w:color="auto"/>
        <w:right w:val="none" w:sz="0" w:space="0" w:color="auto"/>
      </w:divBdr>
    </w:div>
    <w:div w:id="1972468383">
      <w:bodyDiv w:val="1"/>
      <w:marLeft w:val="0"/>
      <w:marRight w:val="0"/>
      <w:marTop w:val="0"/>
      <w:marBottom w:val="0"/>
      <w:divBdr>
        <w:top w:val="none" w:sz="0" w:space="0" w:color="auto"/>
        <w:left w:val="none" w:sz="0" w:space="0" w:color="auto"/>
        <w:bottom w:val="none" w:sz="0" w:space="0" w:color="auto"/>
        <w:right w:val="none" w:sz="0" w:space="0" w:color="auto"/>
      </w:divBdr>
    </w:div>
    <w:div w:id="1977102626">
      <w:bodyDiv w:val="1"/>
      <w:marLeft w:val="0"/>
      <w:marRight w:val="0"/>
      <w:marTop w:val="0"/>
      <w:marBottom w:val="0"/>
      <w:divBdr>
        <w:top w:val="none" w:sz="0" w:space="0" w:color="auto"/>
        <w:left w:val="none" w:sz="0" w:space="0" w:color="auto"/>
        <w:bottom w:val="none" w:sz="0" w:space="0" w:color="auto"/>
        <w:right w:val="none" w:sz="0" w:space="0" w:color="auto"/>
      </w:divBdr>
    </w:div>
    <w:div w:id="2014018938">
      <w:bodyDiv w:val="1"/>
      <w:marLeft w:val="0"/>
      <w:marRight w:val="0"/>
      <w:marTop w:val="0"/>
      <w:marBottom w:val="0"/>
      <w:divBdr>
        <w:top w:val="none" w:sz="0" w:space="0" w:color="auto"/>
        <w:left w:val="none" w:sz="0" w:space="0" w:color="auto"/>
        <w:bottom w:val="none" w:sz="0" w:space="0" w:color="auto"/>
        <w:right w:val="none" w:sz="0" w:space="0" w:color="auto"/>
      </w:divBdr>
    </w:div>
    <w:div w:id="2018996269">
      <w:bodyDiv w:val="1"/>
      <w:marLeft w:val="0"/>
      <w:marRight w:val="0"/>
      <w:marTop w:val="0"/>
      <w:marBottom w:val="0"/>
      <w:divBdr>
        <w:top w:val="none" w:sz="0" w:space="0" w:color="auto"/>
        <w:left w:val="none" w:sz="0" w:space="0" w:color="auto"/>
        <w:bottom w:val="none" w:sz="0" w:space="0" w:color="auto"/>
        <w:right w:val="none" w:sz="0" w:space="0" w:color="auto"/>
      </w:divBdr>
    </w:div>
    <w:div w:id="2090076101">
      <w:bodyDiv w:val="1"/>
      <w:marLeft w:val="0"/>
      <w:marRight w:val="0"/>
      <w:marTop w:val="0"/>
      <w:marBottom w:val="0"/>
      <w:divBdr>
        <w:top w:val="none" w:sz="0" w:space="0" w:color="auto"/>
        <w:left w:val="none" w:sz="0" w:space="0" w:color="auto"/>
        <w:bottom w:val="none" w:sz="0" w:space="0" w:color="auto"/>
        <w:right w:val="none" w:sz="0" w:space="0" w:color="auto"/>
      </w:divBdr>
    </w:div>
    <w:div w:id="2092845145">
      <w:bodyDiv w:val="1"/>
      <w:marLeft w:val="0"/>
      <w:marRight w:val="0"/>
      <w:marTop w:val="0"/>
      <w:marBottom w:val="0"/>
      <w:divBdr>
        <w:top w:val="none" w:sz="0" w:space="0" w:color="auto"/>
        <w:left w:val="none" w:sz="0" w:space="0" w:color="auto"/>
        <w:bottom w:val="none" w:sz="0" w:space="0" w:color="auto"/>
        <w:right w:val="none" w:sz="0" w:space="0" w:color="auto"/>
      </w:divBdr>
    </w:div>
    <w:div w:id="2102725566">
      <w:bodyDiv w:val="1"/>
      <w:marLeft w:val="0"/>
      <w:marRight w:val="0"/>
      <w:marTop w:val="0"/>
      <w:marBottom w:val="0"/>
      <w:divBdr>
        <w:top w:val="none" w:sz="0" w:space="0" w:color="auto"/>
        <w:left w:val="none" w:sz="0" w:space="0" w:color="auto"/>
        <w:bottom w:val="none" w:sz="0" w:space="0" w:color="auto"/>
        <w:right w:val="none" w:sz="0" w:space="0" w:color="auto"/>
      </w:divBdr>
    </w:div>
    <w:div w:id="213752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kokvo.m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acpua.aragon.es/es/agencia-de-calidad-y-prospectiva-universitaria-de-aragon" TargetMode="External"/><Relationship Id="rId4" Type="http://schemas.openxmlformats.org/officeDocument/2006/relationships/settings" Target="settings.xml"/><Relationship Id="rId9" Type="http://schemas.openxmlformats.org/officeDocument/2006/relationships/hyperlink" Target="http://www.nica.ru/en"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avors.or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vors.org/images/lista_recenzenata/odluka_o_nacinu_formiranja_liste_recenzenata.pdf" TargetMode="External"/><Relationship Id="rId1" Type="http://schemas.openxmlformats.org/officeDocument/2006/relationships/hyperlink" Target="https://www.avors.org/index.php/sr/r-gis-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2BA58-3F12-4AC1-A05A-8F9E5B0F5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8647</Words>
  <Characters>49289</Characters>
  <Application>Microsoft Office Word</Application>
  <DocSecurity>0</DocSecurity>
  <Lines>410</Lines>
  <Paragraphs>115</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УВОД</vt:lpstr>
      <vt:lpstr>ЗАКОНОДАВНИ ДИО</vt:lpstr>
      <vt:lpstr>ТЕМАТСКИ ДИО</vt:lpstr>
      <vt:lpstr>    АКРЕДИТАЦИЈА УСТАНОВА И СТУДИЈСКИХ ПРОГРАМА </vt:lpstr>
      <vt:lpstr>        Нове пријаве за акредитацију </vt:lpstr>
      <vt:lpstr>        Провођење поступака акредитације </vt:lpstr>
      <vt:lpstr>        Издавање рјешења о акредитацији и писама очекивања </vt:lpstr>
      <vt:lpstr>        Статус акредитације високошколских установа </vt:lpstr>
      <vt:lpstr>    ПОСТУПЦИ ВАЊСКОГ ВРЕДНОВАЊА У СВРХУ ПОЧЕТНЕ АКРЕДИТАЦИЈЕ </vt:lpstr>
      <vt:lpstr>    АЖУРИРАЊЕ ЛИСТА РЕЦЕНЗЕНАТА  </vt:lpstr>
      <vt:lpstr>    МЕЂУНАРОДНА САРАДЊА </vt:lpstr>
      <vt:lpstr>        Сарадња са агенцијама у Европском простору високог образовања</vt:lpstr>
      <vt:lpstr>        Пројекти </vt:lpstr>
      <vt:lpstr>        </vt:lpstr>
      <vt:lpstr>    </vt:lpstr>
      <vt:lpstr>    ПРИЗНАВАЊЕ СТРАНИХ ВИСОКОШКОЛСКИХ КВАЛИФИКАЦИЈА </vt:lpstr>
      <vt:lpstr>    САРАДЊА СА ИНСТИТУЦИЈАМА И ТИЈЕЛИМА У ВИСОКОМ ОБРАЗОВАЊУ </vt:lpstr>
      <vt:lpstr>IV  ОРГАНИЗАЦИЈА РАДА </vt:lpstr>
      <vt:lpstr>    РАД ОРГАНА И ТИЈЕЛА АГЕНЦИЈЕ </vt:lpstr>
      <vt:lpstr>        Управни одбор</vt:lpstr>
      <vt:lpstr>        Акредитацијско вијеће</vt:lpstr>
      <vt:lpstr>        Одбор за жалбе и приговоре   </vt:lpstr>
      <vt:lpstr>V   ФИНАНСИЈСКИ ИЗВЈЕШТАЈ </vt:lpstr>
    </vt:vector>
  </TitlesOfParts>
  <Company/>
  <LinksUpToDate>false</LinksUpToDate>
  <CharactersWithSpaces>57821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 Terzć</dc:creator>
  <cp:keywords/>
  <dc:description/>
  <cp:lastModifiedBy>d.djakovic</cp:lastModifiedBy>
  <cp:revision>15</cp:revision>
  <cp:lastPrinted>2025-06-13T11:25:00Z</cp:lastPrinted>
  <dcterms:created xsi:type="dcterms:W3CDTF">2025-03-05T11:49:00Z</dcterms:created>
  <dcterms:modified xsi:type="dcterms:W3CDTF">2025-06-13T11:25:00Z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f62810515bcad1198655a275c8e5392b0fc7b2ddd494256afabfe7aed2dbd39a</vt:lpwstr>
  </property>
</Properties>
</file>